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1064" w:rsidRPr="00D41064" w:rsidTr="00D4106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41064" w:rsidRPr="00D410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41064" w:rsidRPr="00D41064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D41064" w:rsidRPr="00D4106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1064" w:rsidRPr="00D41064" w:rsidRDefault="00D41064" w:rsidP="00D4106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TASARRUFLU YAZI (12.03.2021/62237638)</w:t>
                              </w:r>
                            </w:p>
                          </w:tc>
                        </w:tr>
                        <w:tr w:rsidR="00D41064" w:rsidRPr="00D4106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D41064" w:rsidRPr="00D4106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41064" w:rsidRPr="00D41064" w:rsidRDefault="00D41064" w:rsidP="00D410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1064" w:rsidRPr="00D41064" w:rsidRDefault="00D41064" w:rsidP="00D410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D41064" w:rsidRPr="00D4106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</w:tcPr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T.C.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TİCARET BAKANLIĞI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Ürün Güvenliği ve Denetimi Genel Müdürlüğü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Sayı     :</w:t>
                              </w: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</w:t>
                              </w:r>
                              <w:proofErr w:type="gram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-24545304-553.02-00062237638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Konu   :</w:t>
                              </w:r>
                              <w:bookmarkStart w:id="0" w:name="_GoBack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2021</w:t>
                              </w:r>
                              <w:proofErr w:type="gram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/18 Ürün Güvenliği ve Denetimi</w:t>
                              </w:r>
                            </w:p>
                            <w:bookmarkEnd w:id="0"/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Tebliği </w:t>
                              </w:r>
                              <w:proofErr w:type="spell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Hk</w:t>
                              </w:r>
                              <w:proofErr w:type="spellEnd"/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12.03.2021 / 62237638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DAĞITIM YERLERİNE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Bilindiği üzere, 25.02.2021 tarihli ve 61819485 sayılı yazımız ekinde Bazı Tekstil, Konfeksiyon ve Deri Ürünlerinin Denetimine İlişkin Tebliğ (</w:t>
                              </w:r>
                              <w:hyperlink r:id="rId4" w:history="1">
                                <w:r w:rsidRPr="00D41064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104E83"/>
                                    <w:sz w:val="20"/>
                                    <w:szCs w:val="20"/>
                                    <w:lang w:eastAsia="tr-TR"/>
                                  </w:rPr>
                                  <w:t>Ürün Güvenliği ve Denetimi: 2021/18</w:t>
                                </w:r>
                              </w:hyperlink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) İthalat Denetim Rehberi tüm Bölge Müdürlüklerimize iletilmiştir.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Mezkur</w:t>
                              </w:r>
                              <w:proofErr w:type="gram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rehberin "3.2 Numune Alınması ve Numunenin Laboratuvara Sevki" başlığında "... Numune sayısının asgaride tutulması esastır" hükmü amirdir.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Bahse konu hüküm çerçevesinde: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 Ürün cinsi bazında yapılan başvurularda öncelikli olarak, ürün cinsi aynı olmak kaydıyla, başvuruda yer alan diğer ürün renklerinin tamamını veya çoğunu içeren herhangi bir model ürün varsa sadece o modelden numune alınması gerekmektedir. (Örneğin sarı kazak, mavi kazak, kırmızı kazak, siyah kazak ile bu renklerin tamamını/çoğunu ihtiva eden ve 4 ayrı renkli kazaktan oluşan toplam 5 model içeren bir başvurudan; sadece 4 ayrı renkli kazaktan numune alınması.)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- Ürün cinsi bazında yapılan başvuru kapsamı ürün modelleri tek ve birbirinden farklı renklerden oluşuyorsa; riskli renkler olan siyah, kırmızı, turuncu, sarı ya da yeşil renkli modellerden; şayet bu renklerden hiçbiri </w:t>
                              </w:r>
                              <w:proofErr w:type="gram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yoksa,</w:t>
                              </w:r>
                              <w:proofErr w:type="gram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en koyu renkli modelden numune alınması gerekmektedir.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 Ürün cinsi bazında yapılan başvuru kapsamı ürünler aynı rengin farklı tonlarından oluşuyorsa; o rengin en koyu tonundan numune alınması gerekmektedir.(Örneğin pembe, koyu pembe ve açık pembe kazaklardan sadece koyu pembe kazaktan numune alınması.)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 Sadece beyaz renkten oluşan ürünlerden hiçbir şekilde numune alınmaması; başvurunun tamamı beyaz renklerden oluşuyor ise test işlemi yapılmadan veya test raporu istenmeden başvurunun kabul olarak sonuçlandırılması gerekmektedir.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Ayakkabı cinsi ürünler için ise: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- Ürün cinsleri arasında yer alan eşyalardan öncelikli olarak </w:t>
                              </w:r>
                              <w:proofErr w:type="spell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azo</w:t>
                              </w:r>
                              <w:proofErr w:type="spell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testleri için yukarıda belirtilen hususlar doğrultusunda numune seçilmesi gerekmektedir.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- </w:t>
                              </w:r>
                              <w:proofErr w:type="spell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Fitalat</w:t>
                              </w:r>
                              <w:proofErr w:type="spell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, krom VI ve DOT testleri için en fazla sayıda materyal içeren modelin numune olarak seçilmesi gerekmektedir.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 Ürün cinsi bazında yapılan başvuru kapsamında tamamıyla farklı materyallerden oluşan modeller varsa; bu tür ürünlerin her birinden ayrı ayrı numune alınması gerekmektedir.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20" w:after="100" w:afterAutospacing="1" w:line="240" w:lineRule="auto"/>
                                <w:ind w:firstLine="709"/>
                                <w:jc w:val="both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Bilgilerini ve gereğini rica ederim.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VEYSEL PARLAK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Bakan a.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Genel Müdür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Dağıtım: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Batı Akdeniz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Batı Marmara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Doğu Akdeniz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Doğu Anadolu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Doğu Karadeniz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Doğu Marmara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Ege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Fırat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spellStart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Gap</w:t>
                              </w:r>
                              <w:proofErr w:type="spellEnd"/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İpekyolu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İstanbul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Orta Akdeniz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Orta Anadolu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Orta Karadeniz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Trakya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Uludağ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Gürbulak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D41064"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Kaçkar Gümrük ve Dış Ticaret Bölge Müdürlüğüne</w:t>
                              </w:r>
                            </w:p>
                            <w:p w:rsidR="00D41064" w:rsidRPr="00D41064" w:rsidRDefault="00D41064" w:rsidP="00D4106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41064" w:rsidRPr="00D41064" w:rsidRDefault="00D41064" w:rsidP="00D4106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41064" w:rsidRPr="00D41064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D41064" w:rsidRPr="00D41064" w:rsidRDefault="00D41064" w:rsidP="00D4106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41064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5" o:title=""/>
                            </v:shape>
                            <w:control r:id="rId6" w:name="DefaultOcxName" w:shapeid="_x0000_i1038"/>
                          </w:object>
                        </w:r>
                        <w:r w:rsidRPr="00D41064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D41064" w:rsidRPr="00D41064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41064" w:rsidRPr="00D41064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1064" w:rsidRPr="00D41064" w:rsidRDefault="00D41064" w:rsidP="00D4106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41064" w:rsidRPr="00D41064" w:rsidRDefault="00D41064" w:rsidP="00D4106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41064" w:rsidRPr="00D41064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D41064" w:rsidRPr="00D41064" w:rsidRDefault="00D41064" w:rsidP="00D4106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41064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5" o:title=""/>
                            </v:shape>
                            <w:control r:id="rId7" w:name="DefaultOcxName1" w:shapeid="_x0000_i1037"/>
                          </w:object>
                        </w:r>
                        <w:r w:rsidRPr="00D41064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D41064" w:rsidRPr="00D41064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D41064" w:rsidRPr="00D41064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1064" w:rsidRPr="00D41064" w:rsidRDefault="00D41064" w:rsidP="00D4106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41064" w:rsidRPr="00D41064" w:rsidRDefault="00D41064" w:rsidP="00D4106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41064" w:rsidRPr="00D41064" w:rsidRDefault="00D41064" w:rsidP="00D41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41064" w:rsidRPr="00D41064" w:rsidRDefault="00D41064" w:rsidP="00D4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41064" w:rsidRPr="00D41064" w:rsidRDefault="00D41064" w:rsidP="00D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1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D41064" w:rsidRPr="00D41064" w:rsidRDefault="00D41064" w:rsidP="00D41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D41064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8" o:title=""/>
          </v:shape>
          <w:control r:id="rId9" w:name="DefaultOcxName2" w:shapeid="_x0000_i1036"/>
        </w:object>
      </w:r>
      <w:r w:rsidRPr="00D41064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10" o:title=""/>
          </v:shape>
          <w:control r:id="rId11" w:name="DefaultOcxName3" w:shapeid="_x0000_i1035"/>
        </w:object>
      </w:r>
    </w:p>
    <w:p w:rsidR="00FC6CAA" w:rsidRDefault="00D41064" w:rsidP="00D41064">
      <w:r w:rsidRPr="00D41064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</w:p>
    <w:sectPr w:rsidR="00FC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5"/>
    <w:rsid w:val="00D41064"/>
    <w:rsid w:val="00F54265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445C0-4374-4AD6-BE09-DF522FC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hyperlink" Target="http://192.168.16.11/mavi/mevzuatGoster.aspx?id=37978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2021-03-16T20:00:00Z</dcterms:created>
  <dcterms:modified xsi:type="dcterms:W3CDTF">2021-03-16T20:00:00Z</dcterms:modified>
</cp:coreProperties>
</file>