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3A53" w:rsidRPr="00183A53" w:rsidRDefault="00183A53" w:rsidP="00183A53">
      <w:pPr>
        <w:pStyle w:val="NormalWeb"/>
        <w:shd w:val="clear" w:color="auto" w:fill="FFFFFF"/>
        <w:spacing w:before="0" w:beforeAutospacing="0" w:after="160" w:afterAutospacing="0"/>
        <w:rPr>
          <w:rFonts w:ascii="Trebuchet MS" w:eastAsiaTheme="minorHAnsi" w:hAnsi="Trebuchet MS" w:cstheme="minorBidi"/>
          <w:color w:val="666666"/>
          <w:sz w:val="23"/>
          <w:szCs w:val="23"/>
          <w:shd w:val="clear" w:color="auto" w:fill="FFFFFF"/>
          <w:lang w:eastAsia="en-US"/>
        </w:rPr>
      </w:pPr>
      <w:r w:rsidRPr="00183A53">
        <w:rPr>
          <w:rFonts w:ascii="Trebuchet MS" w:eastAsiaTheme="minorHAnsi" w:hAnsi="Trebuchet MS" w:cstheme="minorBidi"/>
          <w:b/>
          <w:color w:val="666666"/>
          <w:sz w:val="23"/>
          <w:szCs w:val="23"/>
          <w:shd w:val="clear" w:color="auto" w:fill="FFFFFF"/>
          <w:lang w:eastAsia="en-US"/>
        </w:rPr>
        <w:t>1-----</w:t>
      </w:r>
      <w:r w:rsidRPr="00183A53">
        <w:rPr>
          <w:rFonts w:ascii="Trebuchet MS" w:eastAsiaTheme="minorHAnsi" w:hAnsi="Trebuchet MS" w:cstheme="minorBidi"/>
          <w:color w:val="666666"/>
          <w:sz w:val="23"/>
          <w:szCs w:val="23"/>
          <w:shd w:val="clear" w:color="auto" w:fill="FFFFFF"/>
          <w:lang w:eastAsia="en-US"/>
        </w:rPr>
        <w:t>Yükümlü Kayıt ve Takip Sisteminde (YKTS) veri girişi yapılan ve gümrük idaresince onay işlemleri tamamlanan gümrük müşavirlerince, ortaklık statülerinin geçerli olduğu süre içerisinde, ilgili oldukları müşavirlik firmasına ilişkin tüm vergi ve ceza borçlarının sorgulanabilmesine,</w:t>
      </w:r>
    </w:p>
    <w:p w:rsidR="00183A53" w:rsidRPr="00183A53" w:rsidRDefault="00183A53" w:rsidP="00183A53">
      <w:pPr>
        <w:pStyle w:val="NormalWeb"/>
        <w:shd w:val="clear" w:color="auto" w:fill="FFFFFF"/>
        <w:spacing w:before="0" w:beforeAutospacing="0" w:after="160" w:afterAutospacing="0"/>
        <w:rPr>
          <w:rFonts w:ascii="Trebuchet MS" w:eastAsiaTheme="minorHAnsi" w:hAnsi="Trebuchet MS" w:cstheme="minorBidi"/>
          <w:color w:val="666666"/>
          <w:sz w:val="23"/>
          <w:szCs w:val="23"/>
          <w:shd w:val="clear" w:color="auto" w:fill="FFFFFF"/>
          <w:lang w:eastAsia="en-US"/>
        </w:rPr>
      </w:pPr>
      <w:r w:rsidRPr="00183A53">
        <w:rPr>
          <w:rFonts w:ascii="Trebuchet MS" w:eastAsiaTheme="minorHAnsi" w:hAnsi="Trebuchet MS" w:cstheme="minorBidi"/>
          <w:color w:val="666666"/>
          <w:sz w:val="23"/>
          <w:szCs w:val="23"/>
          <w:shd w:val="clear" w:color="auto" w:fill="FFFFFF"/>
          <w:lang w:eastAsia="en-US"/>
        </w:rPr>
        <w:t>-Ek tahakkuk/para cezasının ilgili olduğu beyannamelerin de görüntülenebilmesine,</w:t>
      </w:r>
    </w:p>
    <w:p w:rsidR="00183A53" w:rsidRPr="00183A53" w:rsidRDefault="00183A53" w:rsidP="00183A53">
      <w:pPr>
        <w:pStyle w:val="NormalWeb"/>
        <w:shd w:val="clear" w:color="auto" w:fill="FFFFFF"/>
        <w:spacing w:before="0" w:beforeAutospacing="0" w:after="160" w:afterAutospacing="0"/>
        <w:rPr>
          <w:rFonts w:ascii="Trebuchet MS" w:eastAsiaTheme="minorHAnsi" w:hAnsi="Trebuchet MS" w:cstheme="minorBidi"/>
          <w:color w:val="666666"/>
          <w:sz w:val="23"/>
          <w:szCs w:val="23"/>
          <w:shd w:val="clear" w:color="auto" w:fill="FFFFFF"/>
          <w:lang w:eastAsia="en-US"/>
        </w:rPr>
      </w:pPr>
      <w:r w:rsidRPr="00183A53">
        <w:rPr>
          <w:rFonts w:ascii="Trebuchet MS" w:eastAsiaTheme="minorHAnsi" w:hAnsi="Trebuchet MS" w:cstheme="minorBidi"/>
          <w:color w:val="666666"/>
          <w:sz w:val="23"/>
          <w:szCs w:val="23"/>
          <w:shd w:val="clear" w:color="auto" w:fill="FFFFFF"/>
          <w:lang w:eastAsia="en-US"/>
        </w:rPr>
        <w:t>Yönelik teknik düzenleme yapıldığı konulu Gümrükler</w:t>
      </w:r>
      <w:r>
        <w:rPr>
          <w:rFonts w:ascii="Trebuchet MS" w:eastAsiaTheme="minorHAnsi" w:hAnsi="Trebuchet MS" w:cstheme="minorBidi"/>
          <w:color w:val="666666"/>
          <w:sz w:val="23"/>
          <w:szCs w:val="23"/>
          <w:shd w:val="clear" w:color="auto" w:fill="FFFFFF"/>
          <w:lang w:eastAsia="en-US"/>
        </w:rPr>
        <w:t xml:space="preserve"> Genel Müdürlüğü yazısı aşağıdaki linktedir.</w:t>
      </w:r>
    </w:p>
    <w:p w:rsidR="00A1481B" w:rsidRDefault="00BD6649">
      <w:hyperlink r:id="rId4" w:history="1">
        <w:r w:rsidR="00183A53" w:rsidRPr="00922154">
          <w:rPr>
            <w:rStyle w:val="Kpr"/>
          </w:rPr>
          <w:t>http://www.lojiblog.com/services/viewer.php?data=16536</w:t>
        </w:r>
      </w:hyperlink>
    </w:p>
    <w:p w:rsidR="00183A53" w:rsidRDefault="00183A53">
      <w:pPr>
        <w:rPr>
          <w:rFonts w:ascii="Trebuchet MS" w:hAnsi="Trebuchet MS"/>
          <w:color w:val="666666"/>
          <w:sz w:val="23"/>
          <w:szCs w:val="23"/>
          <w:shd w:val="clear" w:color="auto" w:fill="FFFFFF"/>
        </w:rPr>
      </w:pPr>
      <w:r w:rsidRPr="00183A53">
        <w:rPr>
          <w:rFonts w:ascii="Trebuchet MS" w:hAnsi="Trebuchet MS"/>
          <w:b/>
          <w:color w:val="666666"/>
          <w:sz w:val="23"/>
          <w:szCs w:val="23"/>
          <w:shd w:val="clear" w:color="auto" w:fill="FFFFFF"/>
        </w:rPr>
        <w:t>2-----</w:t>
      </w:r>
      <w:r>
        <w:rPr>
          <w:rFonts w:ascii="Trebuchet MS" w:hAnsi="Trebuchet MS"/>
          <w:color w:val="666666"/>
          <w:sz w:val="23"/>
          <w:szCs w:val="23"/>
          <w:shd w:val="clear" w:color="auto" w:fill="FFFFFF"/>
        </w:rPr>
        <w:t>İnceleme analiz veya test amaçlı eşya ithalatı ön izin başvurularının Tek Pencere Sistemi üzerinden yürütülmesi konulu genelge aşağıdaki linktedir.</w:t>
      </w:r>
    </w:p>
    <w:p w:rsidR="00183A53" w:rsidRDefault="00BD6649">
      <w:hyperlink r:id="rId5" w:history="1">
        <w:r w:rsidR="00183A53" w:rsidRPr="00922154">
          <w:rPr>
            <w:rStyle w:val="Kpr"/>
          </w:rPr>
          <w:t>http://www.lojiblog.com/services/viewer.php?data=16541</w:t>
        </w:r>
      </w:hyperlink>
    </w:p>
    <w:p w:rsidR="00183A53" w:rsidRPr="00183A53" w:rsidRDefault="00183A53">
      <w:pPr>
        <w:rPr>
          <w:rFonts w:ascii="Trebuchet MS" w:hAnsi="Trebuchet MS"/>
          <w:color w:val="666666"/>
          <w:sz w:val="23"/>
          <w:szCs w:val="23"/>
          <w:shd w:val="clear" w:color="auto" w:fill="FFFFFF"/>
        </w:rPr>
      </w:pPr>
      <w:r w:rsidRPr="00183A53">
        <w:rPr>
          <w:rFonts w:ascii="Trebuchet MS" w:hAnsi="Trebuchet MS"/>
          <w:b/>
          <w:color w:val="666666"/>
          <w:sz w:val="23"/>
          <w:szCs w:val="23"/>
          <w:shd w:val="clear" w:color="auto" w:fill="FFFFFF"/>
        </w:rPr>
        <w:t>3-----</w:t>
      </w:r>
      <w:r w:rsidRPr="00183A53">
        <w:rPr>
          <w:rFonts w:ascii="Trebuchet MS" w:hAnsi="Trebuchet MS"/>
          <w:color w:val="666666"/>
          <w:sz w:val="23"/>
          <w:szCs w:val="23"/>
          <w:shd w:val="clear" w:color="auto" w:fill="FFFFFF"/>
        </w:rPr>
        <w:t xml:space="preserve">Ürün Güvenliği ve Denetimi Tebliğleri kapsamında gerçekleştirilen fiili ithalat denetimlerinde, konşimento tarihinden önce düzenlenmiş test raporunun sunulması ve numunelerin yalnızca ilgili Ticaret Denetmeni tarafından alınası gerektiği konulu Ürün Güvenliği ve Denetimi Genel Müdürlüğü yazısı </w:t>
      </w:r>
      <w:r>
        <w:rPr>
          <w:rFonts w:ascii="Trebuchet MS" w:hAnsi="Trebuchet MS"/>
          <w:color w:val="666666"/>
          <w:sz w:val="23"/>
          <w:szCs w:val="23"/>
          <w:shd w:val="clear" w:color="auto" w:fill="FFFFFF"/>
        </w:rPr>
        <w:t>aşağıdaki linktedir.</w:t>
      </w:r>
    </w:p>
    <w:p w:rsidR="00183A53" w:rsidRDefault="00BD6649">
      <w:hyperlink r:id="rId6" w:history="1">
        <w:r w:rsidR="00183A53" w:rsidRPr="00922154">
          <w:rPr>
            <w:rStyle w:val="Kpr"/>
          </w:rPr>
          <w:t>http://www.lojiblog.com/services/viewer.php?data=16555</w:t>
        </w:r>
      </w:hyperlink>
    </w:p>
    <w:p w:rsidR="00183A53" w:rsidRDefault="00183A53" w:rsidP="00183A53">
      <w:pPr>
        <w:pStyle w:val="NormalWeb"/>
        <w:shd w:val="clear" w:color="auto" w:fill="FFFFFF"/>
        <w:rPr>
          <w:rFonts w:ascii="Trebuchet MS" w:hAnsi="Trebuchet MS"/>
          <w:color w:val="666666"/>
          <w:sz w:val="23"/>
          <w:szCs w:val="23"/>
        </w:rPr>
      </w:pPr>
      <w:r w:rsidRPr="00183A53">
        <w:rPr>
          <w:rFonts w:ascii="Trebuchet MS" w:hAnsi="Trebuchet MS"/>
          <w:b/>
          <w:color w:val="666666"/>
          <w:sz w:val="23"/>
          <w:szCs w:val="23"/>
        </w:rPr>
        <w:t>4-----</w:t>
      </w:r>
      <w:r>
        <w:rPr>
          <w:rFonts w:ascii="Trebuchet MS" w:hAnsi="Trebuchet MS"/>
          <w:color w:val="666666"/>
          <w:sz w:val="23"/>
          <w:szCs w:val="23"/>
        </w:rPr>
        <w:t>Ticaret Bakanlığınca hazırlanan 2022 yılı Ekim ayı Dış Ticaret Veri Bültenine aşağıdaki linkten ulaşılabilir.</w:t>
      </w:r>
    </w:p>
    <w:p w:rsidR="00183A53" w:rsidRDefault="00BD6649" w:rsidP="00183A53">
      <w:pPr>
        <w:pStyle w:val="NormalWeb"/>
        <w:shd w:val="clear" w:color="auto" w:fill="FFFFFF"/>
        <w:spacing w:before="0" w:beforeAutospacing="0" w:after="0" w:afterAutospacing="0"/>
        <w:rPr>
          <w:rFonts w:ascii="Calibri" w:hAnsi="Calibri" w:cs="Calibri"/>
          <w:color w:val="666666"/>
          <w:sz w:val="22"/>
          <w:szCs w:val="22"/>
        </w:rPr>
      </w:pPr>
      <w:hyperlink r:id="rId7" w:history="1">
        <w:r w:rsidR="00183A53">
          <w:rPr>
            <w:rStyle w:val="Kpr"/>
            <w:rFonts w:ascii="Calibri" w:hAnsi="Calibri" w:cs="Calibri"/>
            <w:color w:val="0563C1"/>
            <w:sz w:val="22"/>
            <w:szCs w:val="22"/>
          </w:rPr>
          <w:t>https://ticaret.gov.tr/haberler/2022-yili-ekim-ayi-dis-ticaret-verileri</w:t>
        </w:r>
      </w:hyperlink>
    </w:p>
    <w:p w:rsidR="00183A53" w:rsidRDefault="00183A53" w:rsidP="00183A53">
      <w:pPr>
        <w:pStyle w:val="NormalWeb"/>
        <w:shd w:val="clear" w:color="auto" w:fill="FFFFFF"/>
        <w:spacing w:before="0" w:beforeAutospacing="0" w:after="160" w:afterAutospacing="0"/>
        <w:rPr>
          <w:rFonts w:asciiTheme="minorHAnsi" w:eastAsiaTheme="minorHAnsi" w:hAnsiTheme="minorHAnsi" w:cstheme="minorBidi"/>
          <w:sz w:val="22"/>
          <w:szCs w:val="22"/>
          <w:lang w:eastAsia="en-US"/>
        </w:rPr>
      </w:pPr>
    </w:p>
    <w:p w:rsidR="00183A53" w:rsidRPr="00183A53" w:rsidRDefault="00183A53" w:rsidP="00183A53">
      <w:pPr>
        <w:pStyle w:val="NormalWeb"/>
        <w:shd w:val="clear" w:color="auto" w:fill="FFFFFF"/>
        <w:spacing w:before="0" w:beforeAutospacing="0" w:after="160" w:afterAutospacing="0"/>
        <w:rPr>
          <w:rFonts w:ascii="Trebuchet MS" w:hAnsi="Trebuchet MS"/>
          <w:color w:val="666666"/>
          <w:sz w:val="23"/>
          <w:szCs w:val="23"/>
        </w:rPr>
      </w:pPr>
      <w:r w:rsidRPr="00183A53">
        <w:rPr>
          <w:rFonts w:ascii="Trebuchet MS" w:hAnsi="Trebuchet MS"/>
          <w:b/>
          <w:color w:val="666666"/>
          <w:sz w:val="23"/>
          <w:szCs w:val="23"/>
        </w:rPr>
        <w:t>5-----</w:t>
      </w:r>
      <w:r w:rsidRPr="00183A53">
        <w:rPr>
          <w:rFonts w:ascii="Trebuchet MS" w:hAnsi="Trebuchet MS"/>
          <w:color w:val="666666"/>
          <w:sz w:val="23"/>
          <w:szCs w:val="23"/>
        </w:rPr>
        <w:t>Bilindiği üzere 31.10.2022 tarihli Resmi Gazetede yayımlanan Karar ile Bangladeş İthalat Rejim kararımızda D-8 ülkeleri arasına dâhil edilmiştir.</w:t>
      </w:r>
    </w:p>
    <w:p w:rsidR="00183A53" w:rsidRPr="00183A53" w:rsidRDefault="00183A53" w:rsidP="00183A53">
      <w:pPr>
        <w:pStyle w:val="NormalWeb"/>
        <w:shd w:val="clear" w:color="auto" w:fill="FFFFFF"/>
        <w:spacing w:before="0" w:beforeAutospacing="0" w:after="160" w:afterAutospacing="0"/>
        <w:rPr>
          <w:rFonts w:ascii="Trebuchet MS" w:hAnsi="Trebuchet MS"/>
          <w:color w:val="666666"/>
          <w:sz w:val="23"/>
          <w:szCs w:val="23"/>
        </w:rPr>
      </w:pPr>
      <w:r w:rsidRPr="00183A53">
        <w:rPr>
          <w:rFonts w:ascii="Trebuchet MS" w:hAnsi="Trebuchet MS"/>
          <w:color w:val="666666"/>
          <w:sz w:val="23"/>
          <w:szCs w:val="23"/>
        </w:rPr>
        <w:t>D-8 Ülkeleri olan Bangladeş (01.11.2022 tarihi itibariyle), Endonezya, İran, Malezya, Nijerya ve Pakistan menşeli olup, bu ülkelerden doğrudan nakliyat kuralına uygun olarak gelen ekli listede GTİP leri yer alan eşyaların ithalatında ekteki yönetmelikte yer alan menşe belgesinin ibraz edilmesi halinde indirimli vergi uygulanmaktadır.</w:t>
      </w:r>
    </w:p>
    <w:p w:rsidR="00183A53" w:rsidRPr="00183A53" w:rsidRDefault="00183A53" w:rsidP="00183A53">
      <w:pPr>
        <w:pStyle w:val="NormalWeb"/>
        <w:shd w:val="clear" w:color="auto" w:fill="FFFFFF"/>
        <w:spacing w:before="0" w:beforeAutospacing="0" w:after="160" w:afterAutospacing="0"/>
        <w:rPr>
          <w:rFonts w:ascii="Trebuchet MS" w:hAnsi="Trebuchet MS"/>
          <w:color w:val="666666"/>
          <w:sz w:val="23"/>
          <w:szCs w:val="23"/>
        </w:rPr>
      </w:pPr>
      <w:r w:rsidRPr="00183A53">
        <w:rPr>
          <w:rFonts w:ascii="Trebuchet MS" w:hAnsi="Trebuchet MS"/>
          <w:color w:val="666666"/>
          <w:sz w:val="23"/>
          <w:szCs w:val="23"/>
        </w:rPr>
        <w:t>Listede yer alan eşyalar genellikle gıda ürünleridir.</w:t>
      </w:r>
    </w:p>
    <w:p w:rsidR="00183A53" w:rsidRDefault="00BD6649">
      <w:hyperlink r:id="rId8" w:history="1">
        <w:r w:rsidR="00183A53" w:rsidRPr="00922154">
          <w:rPr>
            <w:rStyle w:val="Kpr"/>
          </w:rPr>
          <w:t>http://www.lojiblog.com/services/viewer.php?data=16571</w:t>
        </w:r>
      </w:hyperlink>
    </w:p>
    <w:p w:rsidR="00183A53" w:rsidRPr="00183A53" w:rsidRDefault="00183A53">
      <w:pPr>
        <w:rPr>
          <w:rFonts w:ascii="Trebuchet MS" w:eastAsia="Times New Roman" w:hAnsi="Trebuchet MS" w:cs="Times New Roman"/>
          <w:color w:val="666666"/>
          <w:sz w:val="23"/>
          <w:szCs w:val="23"/>
          <w:lang w:eastAsia="tr-TR"/>
        </w:rPr>
      </w:pPr>
      <w:r w:rsidRPr="00183A53">
        <w:rPr>
          <w:rFonts w:ascii="Trebuchet MS" w:eastAsia="Times New Roman" w:hAnsi="Trebuchet MS" w:cs="Times New Roman"/>
          <w:b/>
          <w:color w:val="666666"/>
          <w:sz w:val="23"/>
          <w:szCs w:val="23"/>
          <w:lang w:eastAsia="tr-TR"/>
        </w:rPr>
        <w:t>6-----</w:t>
      </w:r>
      <w:r w:rsidRPr="00183A53">
        <w:rPr>
          <w:rFonts w:ascii="Trebuchet MS" w:eastAsia="Times New Roman" w:hAnsi="Trebuchet MS" w:cs="Times New Roman"/>
          <w:color w:val="666666"/>
          <w:sz w:val="23"/>
          <w:szCs w:val="23"/>
          <w:lang w:eastAsia="tr-TR"/>
        </w:rPr>
        <w:t>Çin menşeli 54.07, 58.10, 60.05, 60.06 ve 63.03 gümrük tarife pozisyonları altında yer alan “suni veya sentetik liflerden belirli mensucat veya tekstil ürünü” ithalatına yönelik başlatılan ve Ticaret Bakanlığı İthalat Genel Müdürlüğü tarafından yürütülen nihai gözden geçirme soruşturması sonucunda anti-damping vergisinin CIF %42,44(Azami 5$/kilogram)ola</w:t>
      </w:r>
      <w:r>
        <w:rPr>
          <w:rFonts w:ascii="Trebuchet MS" w:eastAsia="Times New Roman" w:hAnsi="Trebuchet MS" w:cs="Times New Roman"/>
          <w:color w:val="666666"/>
          <w:sz w:val="23"/>
          <w:szCs w:val="23"/>
          <w:lang w:eastAsia="tr-TR"/>
        </w:rPr>
        <w:t>rak devamı konulu tebliğ aşağıdaki linktedir.</w:t>
      </w:r>
    </w:p>
    <w:p w:rsidR="00183A53" w:rsidRDefault="00BD6649">
      <w:hyperlink r:id="rId9" w:history="1">
        <w:r w:rsidR="00183A53" w:rsidRPr="00922154">
          <w:rPr>
            <w:rStyle w:val="Kpr"/>
          </w:rPr>
          <w:t>http://www.lojiblog.com/services/viewer.php?data=16579</w:t>
        </w:r>
      </w:hyperlink>
    </w:p>
    <w:p w:rsidR="00183A53" w:rsidRPr="00183A53" w:rsidRDefault="00183A53" w:rsidP="00183A53">
      <w:pPr>
        <w:pStyle w:val="NormalWeb"/>
        <w:spacing w:before="0" w:beforeAutospacing="0" w:after="160" w:afterAutospacing="0" w:line="285" w:lineRule="atLeast"/>
        <w:rPr>
          <w:rFonts w:ascii="Trebuchet MS" w:hAnsi="Trebuchet MS"/>
          <w:color w:val="666666"/>
          <w:sz w:val="23"/>
          <w:szCs w:val="23"/>
        </w:rPr>
      </w:pPr>
      <w:r w:rsidRPr="00183A53">
        <w:rPr>
          <w:rFonts w:ascii="Trebuchet MS" w:hAnsi="Trebuchet MS"/>
          <w:b/>
          <w:color w:val="666666"/>
          <w:sz w:val="23"/>
          <w:szCs w:val="23"/>
        </w:rPr>
        <w:t>7-----</w:t>
      </w:r>
      <w:r w:rsidRPr="00183A53">
        <w:rPr>
          <w:rFonts w:ascii="Trebuchet MS" w:hAnsi="Trebuchet MS"/>
          <w:color w:val="666666"/>
          <w:sz w:val="23"/>
          <w:szCs w:val="23"/>
        </w:rPr>
        <w:t>Gerek evlerde veya mağazalarda giysi asmak için kullanılabilecek tipteki, gerekse genelde evlerde asılmayan çamaşır, çorap gibi giysilerin mağaza vb.nde teşhiri için kullanılan tipteki plastik giysi askılarının 3924.90 tarife alt pozisyonunda sınıflandırılması gerektiği konulu Gümrükler</w:t>
      </w:r>
      <w:r>
        <w:rPr>
          <w:rFonts w:ascii="Trebuchet MS" w:hAnsi="Trebuchet MS"/>
          <w:color w:val="666666"/>
          <w:sz w:val="23"/>
          <w:szCs w:val="23"/>
        </w:rPr>
        <w:t xml:space="preserve"> Genel Müdürlüğü yazısı aşağıdaki linktedir.</w:t>
      </w:r>
    </w:p>
    <w:p w:rsidR="00183A53" w:rsidRDefault="00BD6649">
      <w:hyperlink r:id="rId10" w:history="1">
        <w:r w:rsidR="00183A53" w:rsidRPr="00922154">
          <w:rPr>
            <w:rStyle w:val="Kpr"/>
          </w:rPr>
          <w:t>http://www.lojiblog.com/services/viewer.php?data=16587</w:t>
        </w:r>
      </w:hyperlink>
    </w:p>
    <w:p w:rsidR="00183A53" w:rsidRPr="00183A53" w:rsidRDefault="00183A53">
      <w:pPr>
        <w:rPr>
          <w:rFonts w:ascii="Trebuchet MS" w:eastAsia="Times New Roman" w:hAnsi="Trebuchet MS" w:cs="Times New Roman"/>
          <w:color w:val="666666"/>
          <w:sz w:val="23"/>
          <w:szCs w:val="23"/>
          <w:lang w:eastAsia="tr-TR"/>
        </w:rPr>
      </w:pPr>
      <w:r w:rsidRPr="00183A53">
        <w:rPr>
          <w:rFonts w:ascii="Trebuchet MS" w:eastAsia="Times New Roman" w:hAnsi="Trebuchet MS" w:cs="Times New Roman"/>
          <w:b/>
          <w:color w:val="666666"/>
          <w:sz w:val="23"/>
          <w:szCs w:val="23"/>
          <w:lang w:eastAsia="tr-TR"/>
        </w:rPr>
        <w:t>8-----</w:t>
      </w:r>
      <w:r w:rsidRPr="00183A53">
        <w:rPr>
          <w:rFonts w:ascii="Trebuchet MS" w:eastAsia="Times New Roman" w:hAnsi="Trebuchet MS" w:cs="Times New Roman"/>
          <w:color w:val="666666"/>
          <w:sz w:val="23"/>
          <w:szCs w:val="23"/>
          <w:lang w:eastAsia="tr-TR"/>
        </w:rPr>
        <w:t>Dâhilde işleme rejimi kapsamında işlem gören tercihli vergi uygulamasına ilişkin A.TR dolaşım belgesi veya menşe ispat belgesi bilgilerinin, rejim kapsamında tescil edilen ihracat beyannamelerinin ilgili her bir kalemine girilmesinin zorunlu olduğu, söz ko</w:t>
      </w:r>
      <w:r w:rsidR="000010A8">
        <w:rPr>
          <w:rFonts w:ascii="Trebuchet MS" w:eastAsia="Times New Roman" w:hAnsi="Trebuchet MS" w:cs="Times New Roman"/>
          <w:color w:val="666666"/>
          <w:sz w:val="23"/>
          <w:szCs w:val="23"/>
          <w:lang w:eastAsia="tr-TR"/>
        </w:rPr>
        <w:t>nusu b</w:t>
      </w:r>
      <w:r w:rsidRPr="00183A53">
        <w:rPr>
          <w:rFonts w:ascii="Trebuchet MS" w:eastAsia="Times New Roman" w:hAnsi="Trebuchet MS" w:cs="Times New Roman"/>
          <w:color w:val="666666"/>
          <w:sz w:val="23"/>
          <w:szCs w:val="23"/>
          <w:lang w:eastAsia="tr-TR"/>
        </w:rPr>
        <w:t>elgelere ilişkin bilginin beyannamenin 1 inci kalemi dışındaki diğer ilgili kalemlerine girilmemesi halinde Gümrük Kanunu`nun 241 inci maddesinin 1 inci fıkrası uyarınca ceza tatbik edilmesi gerektiği konulu Gümrükle</w:t>
      </w:r>
      <w:r>
        <w:rPr>
          <w:rFonts w:ascii="Trebuchet MS" w:eastAsia="Times New Roman" w:hAnsi="Trebuchet MS" w:cs="Times New Roman"/>
          <w:color w:val="666666"/>
          <w:sz w:val="23"/>
          <w:szCs w:val="23"/>
          <w:lang w:eastAsia="tr-TR"/>
        </w:rPr>
        <w:t>r Genel Müdürlüğü yazısı aşağıdaki linktedir.</w:t>
      </w:r>
    </w:p>
    <w:p w:rsidR="00183A53" w:rsidRDefault="00BD6649">
      <w:hyperlink r:id="rId11" w:history="1">
        <w:r w:rsidR="00183A53" w:rsidRPr="00922154">
          <w:rPr>
            <w:rStyle w:val="Kpr"/>
          </w:rPr>
          <w:t>http://www.lojiblog.com/services/viewer.php?data=16595</w:t>
        </w:r>
      </w:hyperlink>
    </w:p>
    <w:p w:rsidR="00183A53" w:rsidRDefault="000010A8">
      <w:pPr>
        <w:rPr>
          <w:rFonts w:ascii="Trebuchet MS" w:hAnsi="Trebuchet MS"/>
          <w:color w:val="666666"/>
          <w:sz w:val="23"/>
          <w:szCs w:val="23"/>
          <w:shd w:val="clear" w:color="auto" w:fill="FFFFFF"/>
        </w:rPr>
      </w:pPr>
      <w:r w:rsidRPr="000010A8">
        <w:rPr>
          <w:rFonts w:ascii="Trebuchet MS" w:hAnsi="Trebuchet MS"/>
          <w:b/>
          <w:color w:val="666666"/>
          <w:sz w:val="23"/>
          <w:szCs w:val="23"/>
          <w:shd w:val="clear" w:color="auto" w:fill="FFFFFF"/>
        </w:rPr>
        <w:t>9-----</w:t>
      </w:r>
      <w:r w:rsidR="00183A53">
        <w:rPr>
          <w:rFonts w:ascii="Trebuchet MS" w:hAnsi="Trebuchet MS"/>
          <w:color w:val="666666"/>
          <w:sz w:val="23"/>
          <w:szCs w:val="23"/>
          <w:shd w:val="clear" w:color="auto" w:fill="FFFFFF"/>
        </w:rPr>
        <w:t>31 Ekim-4 Kasım 2022 Haftası Ekonomik Geli</w:t>
      </w:r>
      <w:r>
        <w:rPr>
          <w:rFonts w:ascii="Trebuchet MS" w:hAnsi="Trebuchet MS"/>
          <w:color w:val="666666"/>
          <w:sz w:val="23"/>
          <w:szCs w:val="23"/>
          <w:shd w:val="clear" w:color="auto" w:fill="FFFFFF"/>
        </w:rPr>
        <w:t>şmeler konulu özel rapor aşağıdaki linktedir.</w:t>
      </w:r>
    </w:p>
    <w:p w:rsidR="00183A53" w:rsidRDefault="00BD6649">
      <w:hyperlink r:id="rId12" w:history="1">
        <w:r w:rsidR="00183A53" w:rsidRPr="00922154">
          <w:rPr>
            <w:rStyle w:val="Kpr"/>
          </w:rPr>
          <w:t>http://www.lojiblog.com/services/viewer.php?data=16603</w:t>
        </w:r>
      </w:hyperlink>
    </w:p>
    <w:p w:rsidR="00183A53" w:rsidRDefault="000010A8">
      <w:pPr>
        <w:rPr>
          <w:rFonts w:ascii="Trebuchet MS" w:hAnsi="Trebuchet MS"/>
          <w:color w:val="666666"/>
          <w:sz w:val="23"/>
          <w:szCs w:val="23"/>
          <w:shd w:val="clear" w:color="auto" w:fill="FFFFFF"/>
        </w:rPr>
      </w:pPr>
      <w:r w:rsidRPr="000010A8">
        <w:rPr>
          <w:rFonts w:ascii="Trebuchet MS" w:hAnsi="Trebuchet MS"/>
          <w:b/>
          <w:color w:val="666666"/>
          <w:sz w:val="23"/>
          <w:szCs w:val="23"/>
          <w:shd w:val="clear" w:color="auto" w:fill="FFFFFF"/>
        </w:rPr>
        <w:t>10----</w:t>
      </w:r>
      <w:r w:rsidR="00183A53">
        <w:rPr>
          <w:rFonts w:ascii="Trebuchet MS" w:hAnsi="Trebuchet MS"/>
          <w:color w:val="666666"/>
          <w:sz w:val="23"/>
          <w:szCs w:val="23"/>
          <w:shd w:val="clear" w:color="auto" w:fill="FFFFFF"/>
        </w:rPr>
        <w:t>Taşıtlarda kullanılan muhtelif aydınlatma cihazlarının 8512 veya 9405 tarife</w:t>
      </w:r>
      <w:r>
        <w:rPr>
          <w:rFonts w:ascii="Trebuchet MS" w:hAnsi="Trebuchet MS"/>
          <w:color w:val="666666"/>
          <w:sz w:val="23"/>
          <w:szCs w:val="23"/>
          <w:shd w:val="clear" w:color="auto" w:fill="FFFFFF"/>
        </w:rPr>
        <w:t xml:space="preserve"> </w:t>
      </w:r>
      <w:r w:rsidR="00183A53">
        <w:rPr>
          <w:rFonts w:ascii="Trebuchet MS" w:hAnsi="Trebuchet MS"/>
          <w:color w:val="666666"/>
          <w:sz w:val="23"/>
          <w:szCs w:val="23"/>
          <w:shd w:val="clear" w:color="auto" w:fill="FFFFFF"/>
        </w:rPr>
        <w:t>pozisyonlarında sınıflandırılması gerektiği durumların detaylı olarak açıklandığı Gümrükle</w:t>
      </w:r>
      <w:r>
        <w:rPr>
          <w:rFonts w:ascii="Trebuchet MS" w:hAnsi="Trebuchet MS"/>
          <w:color w:val="666666"/>
          <w:sz w:val="23"/>
          <w:szCs w:val="23"/>
          <w:shd w:val="clear" w:color="auto" w:fill="FFFFFF"/>
        </w:rPr>
        <w:t>r Genel Müdürlüğü yazısı aşağıdaki linktedir.</w:t>
      </w:r>
    </w:p>
    <w:p w:rsidR="00183A53" w:rsidRDefault="00BD6649">
      <w:hyperlink r:id="rId13" w:history="1">
        <w:r w:rsidR="00183A53" w:rsidRPr="00922154">
          <w:rPr>
            <w:rStyle w:val="Kpr"/>
          </w:rPr>
          <w:t>http://www.lojiblog.com/services/viewer.php?data=16604</w:t>
        </w:r>
      </w:hyperlink>
    </w:p>
    <w:p w:rsidR="00183A53" w:rsidRPr="00064D40" w:rsidRDefault="00064D40">
      <w:pPr>
        <w:rPr>
          <w:rFonts w:ascii="Trebuchet MS" w:hAnsi="Trebuchet MS"/>
          <w:color w:val="666666"/>
          <w:sz w:val="23"/>
          <w:szCs w:val="23"/>
          <w:shd w:val="clear" w:color="auto" w:fill="FFFFFF"/>
        </w:rPr>
      </w:pPr>
      <w:r w:rsidRPr="00064D40">
        <w:rPr>
          <w:rFonts w:ascii="Trebuchet MS" w:hAnsi="Trebuchet MS"/>
          <w:b/>
          <w:color w:val="666666"/>
          <w:sz w:val="23"/>
          <w:szCs w:val="23"/>
          <w:shd w:val="clear" w:color="auto" w:fill="FFFFFF"/>
        </w:rPr>
        <w:t>11----</w:t>
      </w:r>
      <w:r w:rsidR="00F83D79" w:rsidRPr="00064D40">
        <w:rPr>
          <w:rFonts w:ascii="Trebuchet MS" w:hAnsi="Trebuchet MS"/>
          <w:color w:val="666666"/>
          <w:sz w:val="23"/>
          <w:szCs w:val="23"/>
          <w:shd w:val="clear" w:color="auto" w:fill="FFFFFF"/>
        </w:rPr>
        <w:t>İhracat bedellerinin yurda getirilmesi hakkında TCMB İhracat Genelgesinde değişiklikler ya</w:t>
      </w:r>
      <w:r>
        <w:rPr>
          <w:rFonts w:ascii="Trebuchet MS" w:hAnsi="Trebuchet MS"/>
          <w:color w:val="666666"/>
          <w:sz w:val="23"/>
          <w:szCs w:val="23"/>
          <w:shd w:val="clear" w:color="auto" w:fill="FFFFFF"/>
        </w:rPr>
        <w:t>pılmış olup güncel hali linktedir.</w:t>
      </w:r>
      <w:r w:rsidR="00F83D79" w:rsidRPr="00064D40">
        <w:rPr>
          <w:rFonts w:ascii="Trebuchet MS" w:hAnsi="Trebuchet MS"/>
          <w:color w:val="666666"/>
          <w:sz w:val="23"/>
          <w:szCs w:val="23"/>
          <w:shd w:val="clear" w:color="auto" w:fill="FFFFFF"/>
        </w:rPr>
        <w:br/>
      </w:r>
      <w:r w:rsidR="00F83D79" w:rsidRPr="00064D40">
        <w:rPr>
          <w:rFonts w:ascii="Trebuchet MS" w:hAnsi="Trebuchet MS"/>
          <w:color w:val="666666"/>
          <w:sz w:val="23"/>
          <w:szCs w:val="23"/>
          <w:shd w:val="clear" w:color="auto" w:fill="FFFFFF"/>
        </w:rPr>
        <w:br/>
        <w:t xml:space="preserve">- Genelgenin Türk lirası ihracat başlıklı 9 uncu maddesinde ikinci fıkrasına’’ (2) Kuzey Kıbrıs Türk Cumhuriyeti'ne yapılan ihracatta, GB’nin 22 </w:t>
      </w:r>
      <w:proofErr w:type="spellStart"/>
      <w:r w:rsidR="00F83D79" w:rsidRPr="00064D40">
        <w:rPr>
          <w:rFonts w:ascii="Trebuchet MS" w:hAnsi="Trebuchet MS"/>
          <w:color w:val="666666"/>
          <w:sz w:val="23"/>
          <w:szCs w:val="23"/>
          <w:shd w:val="clear" w:color="auto" w:fill="FFFFFF"/>
        </w:rPr>
        <w:t>nci</w:t>
      </w:r>
      <w:proofErr w:type="spellEnd"/>
      <w:r w:rsidR="00F83D79" w:rsidRPr="00064D40">
        <w:rPr>
          <w:rFonts w:ascii="Trebuchet MS" w:hAnsi="Trebuchet MS"/>
          <w:color w:val="666666"/>
          <w:sz w:val="23"/>
          <w:szCs w:val="23"/>
          <w:shd w:val="clear" w:color="auto" w:fill="FFFFFF"/>
        </w:rPr>
        <w:t xml:space="preserve"> hanesinin Türk lirası olarak beyan edilmiş olması ve ihracata ilişkin bedelin Türk lirası olarak tahsil edilmesi zorunludur.</w:t>
      </w:r>
      <w:r>
        <w:rPr>
          <w:rFonts w:ascii="Trebuchet MS" w:hAnsi="Trebuchet MS"/>
          <w:color w:val="666666"/>
          <w:sz w:val="23"/>
          <w:szCs w:val="23"/>
          <w:shd w:val="clear" w:color="auto" w:fill="FFFFFF"/>
        </w:rPr>
        <w:t xml:space="preserve"> </w:t>
      </w:r>
      <w:r w:rsidR="00F83D79" w:rsidRPr="00064D40">
        <w:rPr>
          <w:rFonts w:ascii="Trebuchet MS" w:hAnsi="Trebuchet MS"/>
          <w:color w:val="666666"/>
          <w:sz w:val="23"/>
          <w:szCs w:val="23"/>
          <w:shd w:val="clear" w:color="auto" w:fill="FFFFFF"/>
        </w:rPr>
        <w:t>Ancak 05.12.2022 tarihinden önce düzenlenen gümrük beyannameleri ve bu kapsamda yapılan tahsilatlar için bu şart aranmaz.’’ cümlesi eklenmiştir.</w:t>
      </w:r>
      <w:r w:rsidR="00F83D79" w:rsidRPr="00064D40">
        <w:rPr>
          <w:rFonts w:ascii="Trebuchet MS" w:hAnsi="Trebuchet MS"/>
          <w:color w:val="666666"/>
          <w:sz w:val="23"/>
          <w:szCs w:val="23"/>
          <w:shd w:val="clear" w:color="auto" w:fill="FFFFFF"/>
        </w:rPr>
        <w:br/>
      </w:r>
      <w:r w:rsidR="00F83D79" w:rsidRPr="00064D40">
        <w:rPr>
          <w:rFonts w:ascii="Trebuchet MS" w:hAnsi="Trebuchet MS"/>
          <w:color w:val="666666"/>
          <w:sz w:val="23"/>
          <w:szCs w:val="23"/>
          <w:shd w:val="clear" w:color="auto" w:fill="FFFFFF"/>
        </w:rPr>
        <w:br/>
        <w:t>- Ek-2 İhracat bedelinin yurda getirilmesinde istisna tanınan ülkelere Mısır ülkesi eklenmiştir.</w:t>
      </w:r>
      <w:r w:rsidR="00F83D79" w:rsidRPr="00064D40">
        <w:rPr>
          <w:rFonts w:ascii="Trebuchet MS" w:hAnsi="Trebuchet MS"/>
          <w:color w:val="666666"/>
          <w:sz w:val="23"/>
          <w:szCs w:val="23"/>
          <w:shd w:val="clear" w:color="auto" w:fill="FFFFFF"/>
        </w:rPr>
        <w:br/>
      </w:r>
      <w:r w:rsidR="00F83D79" w:rsidRPr="00064D40">
        <w:rPr>
          <w:rFonts w:ascii="Trebuchet MS" w:hAnsi="Trebuchet MS"/>
          <w:color w:val="666666"/>
          <w:sz w:val="23"/>
          <w:szCs w:val="23"/>
          <w:shd w:val="clear" w:color="auto" w:fill="FFFFFF"/>
        </w:rPr>
        <w:br/>
        <w:t>- Ek 3 - İhracat bedelinin yurda getirilmesinde gümrük beyannamesinde yer alan tutarın yüzde ellisinin tasarrufunun serbest bırakıldığı ülkeler listesinden Mısır çıkartılmıştır.</w:t>
      </w:r>
    </w:p>
    <w:p w:rsidR="00F83D79" w:rsidRDefault="00BD6649">
      <w:hyperlink r:id="rId14" w:history="1">
        <w:r w:rsidR="00F83D79" w:rsidRPr="00F11878">
          <w:rPr>
            <w:rStyle w:val="Kpr"/>
          </w:rPr>
          <w:t>http://www.lojiblog.com/services/viewer.php?data=16605</w:t>
        </w:r>
      </w:hyperlink>
    </w:p>
    <w:p w:rsidR="00F83D79" w:rsidRPr="00064D40" w:rsidRDefault="00064D40" w:rsidP="00F83D79">
      <w:pPr>
        <w:pStyle w:val="NormalWeb"/>
        <w:shd w:val="clear" w:color="auto" w:fill="FFFFFF"/>
        <w:spacing w:before="322" w:beforeAutospacing="0" w:after="322" w:afterAutospacing="0"/>
        <w:jc w:val="both"/>
        <w:rPr>
          <w:rFonts w:ascii="Trebuchet MS" w:eastAsiaTheme="minorHAnsi" w:hAnsi="Trebuchet MS" w:cstheme="minorBidi"/>
          <w:color w:val="666666"/>
          <w:sz w:val="23"/>
          <w:szCs w:val="23"/>
          <w:shd w:val="clear" w:color="auto" w:fill="FFFFFF"/>
          <w:lang w:eastAsia="en-US"/>
        </w:rPr>
      </w:pPr>
      <w:r w:rsidRPr="00064D40">
        <w:rPr>
          <w:rFonts w:ascii="Trebuchet MS" w:eastAsiaTheme="minorHAnsi" w:hAnsi="Trebuchet MS" w:cstheme="minorBidi"/>
          <w:b/>
          <w:sz w:val="23"/>
          <w:szCs w:val="23"/>
          <w:lang w:eastAsia="en-US"/>
        </w:rPr>
        <w:t>12----</w:t>
      </w:r>
      <w:r w:rsidR="00F83D79" w:rsidRPr="00064D40">
        <w:rPr>
          <w:rFonts w:ascii="Trebuchet MS" w:eastAsiaTheme="minorHAnsi" w:hAnsi="Trebuchet MS" w:cstheme="minorBidi"/>
          <w:sz w:val="23"/>
          <w:szCs w:val="23"/>
          <w:lang w:eastAsia="en-US"/>
        </w:rPr>
        <w:t>5402.31</w:t>
      </w:r>
      <w:r w:rsidR="00F83D79" w:rsidRPr="00064D40">
        <w:rPr>
          <w:rFonts w:ascii="Trebuchet MS" w:eastAsiaTheme="minorHAnsi" w:hAnsi="Trebuchet MS" w:cstheme="minorBidi"/>
          <w:color w:val="666666"/>
          <w:sz w:val="23"/>
          <w:szCs w:val="23"/>
          <w:shd w:val="clear" w:color="auto" w:fill="FFFFFF"/>
          <w:lang w:eastAsia="en-US"/>
        </w:rPr>
        <w:t>, 5402.32.00.00.00, 5402.45, 5402.51 ve 5402.61 Gümrük Tarife Pozisyonları altında sınıflandırılan eşyaların ithalatında 18/10/2022 tarihli ve 6221 sayılı Cumhurbaşkanı Kararı ile yürürlüğe konulan Naylon veya Diğer</w:t>
      </w:r>
      <w:r>
        <w:rPr>
          <w:rFonts w:ascii="Trebuchet MS" w:eastAsiaTheme="minorHAnsi" w:hAnsi="Trebuchet MS" w:cstheme="minorBidi"/>
          <w:color w:val="666666"/>
          <w:sz w:val="23"/>
          <w:szCs w:val="23"/>
          <w:shd w:val="clear" w:color="auto" w:fill="FFFFFF"/>
          <w:lang w:eastAsia="en-US"/>
        </w:rPr>
        <w:t xml:space="preserve"> </w:t>
      </w:r>
      <w:r w:rsidR="00F83D79" w:rsidRPr="00064D40">
        <w:rPr>
          <w:rFonts w:ascii="Trebuchet MS" w:eastAsiaTheme="minorHAnsi" w:hAnsi="Trebuchet MS" w:cstheme="minorBidi"/>
          <w:sz w:val="23"/>
          <w:szCs w:val="23"/>
          <w:lang w:eastAsia="en-US"/>
        </w:rPr>
        <w:t>poliamidlerden</w:t>
      </w:r>
      <w:r>
        <w:rPr>
          <w:rFonts w:ascii="Trebuchet MS" w:eastAsiaTheme="minorHAnsi" w:hAnsi="Trebuchet MS" w:cstheme="minorBidi"/>
          <w:sz w:val="23"/>
          <w:szCs w:val="23"/>
          <w:lang w:eastAsia="en-US"/>
        </w:rPr>
        <w:t xml:space="preserve"> </w:t>
      </w:r>
      <w:r w:rsidR="00F83D79" w:rsidRPr="00064D40">
        <w:rPr>
          <w:rFonts w:ascii="Trebuchet MS" w:eastAsiaTheme="minorHAnsi" w:hAnsi="Trebuchet MS" w:cstheme="minorBidi"/>
          <w:color w:val="666666"/>
          <w:sz w:val="23"/>
          <w:szCs w:val="23"/>
          <w:shd w:val="clear" w:color="auto" w:fill="FFFFFF"/>
          <w:lang w:eastAsia="en-US"/>
        </w:rPr>
        <w:t>ipliklerin İthalatında Korunma Önlemi Uygulanmasına İlişkin Karar kapsamında, ek mali yükümlülük şeklinde uygulanan korunma önleminden muafiyet sağlanması amacıyla açılan tarife kontenjanının kullanım usul ve esaslarının düzenlemesine ait resmi gazete linki aşağıdadır.</w:t>
      </w:r>
    </w:p>
    <w:p w:rsidR="00F83D79" w:rsidRDefault="00BD6649" w:rsidP="00F83D79">
      <w:pPr>
        <w:pStyle w:val="NormalWeb"/>
        <w:shd w:val="clear" w:color="auto" w:fill="FFFFFF"/>
        <w:spacing w:before="322" w:beforeAutospacing="0" w:after="322" w:afterAutospacing="0"/>
        <w:jc w:val="both"/>
        <w:rPr>
          <w:rFonts w:ascii="Calibri" w:hAnsi="Calibri" w:cs="Calibri"/>
          <w:color w:val="666666"/>
          <w:sz w:val="22"/>
          <w:szCs w:val="22"/>
        </w:rPr>
      </w:pPr>
      <w:hyperlink r:id="rId15" w:history="1">
        <w:r w:rsidR="00F83D79">
          <w:rPr>
            <w:rStyle w:val="Kpr"/>
            <w:rFonts w:ascii="Calibri" w:hAnsi="Calibri" w:cs="Calibri"/>
            <w:color w:val="0563C1"/>
            <w:sz w:val="22"/>
            <w:szCs w:val="22"/>
          </w:rPr>
          <w:t>https://www.resmigazete.gov.tr/eskiler/2022/11/20221109-3.htm</w:t>
        </w:r>
      </w:hyperlink>
    </w:p>
    <w:p w:rsidR="00F83D79" w:rsidRPr="00064D40" w:rsidRDefault="00064D40" w:rsidP="00F83D79">
      <w:pPr>
        <w:shd w:val="clear" w:color="auto" w:fill="FFFFFF"/>
        <w:spacing w:before="100" w:beforeAutospacing="1" w:after="100" w:afterAutospacing="1" w:line="240" w:lineRule="auto"/>
        <w:rPr>
          <w:rFonts w:ascii="Trebuchet MS" w:hAnsi="Trebuchet MS"/>
          <w:color w:val="666666"/>
          <w:sz w:val="23"/>
          <w:szCs w:val="23"/>
          <w:shd w:val="clear" w:color="auto" w:fill="FFFFFF"/>
        </w:rPr>
      </w:pPr>
      <w:r w:rsidRPr="00064D40">
        <w:rPr>
          <w:rFonts w:ascii="Trebuchet MS" w:hAnsi="Trebuchet MS"/>
          <w:b/>
          <w:color w:val="666666"/>
          <w:sz w:val="23"/>
          <w:szCs w:val="23"/>
          <w:shd w:val="clear" w:color="auto" w:fill="FFFFFF"/>
        </w:rPr>
        <w:t>13----</w:t>
      </w:r>
      <w:r w:rsidR="00F83D79" w:rsidRPr="00064D40">
        <w:rPr>
          <w:rFonts w:ascii="Trebuchet MS" w:hAnsi="Trebuchet MS"/>
          <w:color w:val="666666"/>
          <w:sz w:val="23"/>
          <w:szCs w:val="23"/>
          <w:shd w:val="clear" w:color="auto" w:fill="FFFFFF"/>
        </w:rPr>
        <w:t xml:space="preserve">4811.51.00.90.11 ve 4811.59.00.90.21 GTİP lerde yer alan gıda ile temas edecek bazı plastik emdirilmiş, sıvanmış veya kaplanmış </w:t>
      </w:r>
      <w:r w:rsidRPr="00064D40">
        <w:rPr>
          <w:rFonts w:ascii="Trebuchet MS" w:hAnsi="Trebuchet MS"/>
          <w:color w:val="666666"/>
          <w:sz w:val="23"/>
          <w:szCs w:val="23"/>
          <w:shd w:val="clear" w:color="auto" w:fill="FFFFFF"/>
        </w:rPr>
        <w:t>kâğıt</w:t>
      </w:r>
      <w:r w:rsidR="00F83D79" w:rsidRPr="00064D40">
        <w:rPr>
          <w:rFonts w:ascii="Trebuchet MS" w:hAnsi="Trebuchet MS"/>
          <w:color w:val="666666"/>
          <w:sz w:val="23"/>
          <w:szCs w:val="23"/>
          <w:shd w:val="clear" w:color="auto" w:fill="FFFFFF"/>
        </w:rPr>
        <w:t xml:space="preserve"> ve kartonların ithalatında %25 oranında ilave gümrük vergisi uygulaması başlatılmıştır.</w:t>
      </w:r>
    </w:p>
    <w:p w:rsidR="00F83D79" w:rsidRPr="00064D40" w:rsidRDefault="00F83D79" w:rsidP="00F83D79">
      <w:pPr>
        <w:shd w:val="clear" w:color="auto" w:fill="FFFFFF"/>
        <w:spacing w:before="100" w:beforeAutospacing="1" w:after="100" w:afterAutospacing="1" w:line="240" w:lineRule="auto"/>
        <w:rPr>
          <w:rFonts w:ascii="Trebuchet MS" w:hAnsi="Trebuchet MS"/>
          <w:color w:val="666666"/>
          <w:sz w:val="23"/>
          <w:szCs w:val="23"/>
          <w:shd w:val="clear" w:color="auto" w:fill="FFFFFF"/>
        </w:rPr>
      </w:pPr>
      <w:r w:rsidRPr="00064D40">
        <w:rPr>
          <w:rFonts w:ascii="Trebuchet MS" w:hAnsi="Trebuchet MS"/>
          <w:color w:val="666666"/>
          <w:sz w:val="23"/>
          <w:szCs w:val="23"/>
          <w:shd w:val="clear" w:color="auto" w:fill="FFFFFF"/>
        </w:rPr>
        <w:t>7312.10.41.00.00 GTİP de yer alan pirinç ile kaplanmış tellerin ithalatında %10 olarak uygulanan ilave gümrük vergisi %25 e çıkartılmıştır.</w:t>
      </w:r>
    </w:p>
    <w:p w:rsidR="00F83D79" w:rsidRPr="00064D40" w:rsidRDefault="00F83D79" w:rsidP="00F83D79">
      <w:pPr>
        <w:shd w:val="clear" w:color="auto" w:fill="FFFFFF"/>
        <w:spacing w:before="100" w:beforeAutospacing="1" w:after="100" w:afterAutospacing="1" w:line="240" w:lineRule="auto"/>
        <w:rPr>
          <w:rFonts w:ascii="Trebuchet MS" w:hAnsi="Trebuchet MS"/>
          <w:color w:val="666666"/>
          <w:sz w:val="23"/>
          <w:szCs w:val="23"/>
          <w:shd w:val="clear" w:color="auto" w:fill="FFFFFF"/>
        </w:rPr>
      </w:pPr>
      <w:r w:rsidRPr="00064D40">
        <w:rPr>
          <w:rFonts w:ascii="Trebuchet MS" w:hAnsi="Trebuchet MS"/>
          <w:color w:val="666666"/>
          <w:sz w:val="23"/>
          <w:szCs w:val="23"/>
          <w:shd w:val="clear" w:color="auto" w:fill="FFFFFF"/>
        </w:rPr>
        <w:t>Karar 10.11.2022 tarihinden itibaren 15 gün içerisinde yürürlüğe girecektir.</w:t>
      </w:r>
    </w:p>
    <w:p w:rsidR="00F83D79" w:rsidRDefault="00BD6649">
      <w:hyperlink r:id="rId16" w:history="1">
        <w:r w:rsidR="00F83D79" w:rsidRPr="00F11878">
          <w:rPr>
            <w:rStyle w:val="Kpr"/>
          </w:rPr>
          <w:t>http://www.lojiblog.com/services/viewer.php?data=16629</w:t>
        </w:r>
      </w:hyperlink>
    </w:p>
    <w:p w:rsidR="00F83D79" w:rsidRPr="00064D40" w:rsidRDefault="00064D40" w:rsidP="00064D40">
      <w:pPr>
        <w:shd w:val="clear" w:color="auto" w:fill="FFFFFF"/>
        <w:spacing w:before="100" w:beforeAutospacing="1" w:after="100" w:afterAutospacing="1" w:line="240" w:lineRule="auto"/>
        <w:rPr>
          <w:rFonts w:ascii="Trebuchet MS" w:hAnsi="Trebuchet MS"/>
          <w:color w:val="666666"/>
          <w:sz w:val="23"/>
          <w:szCs w:val="23"/>
          <w:shd w:val="clear" w:color="auto" w:fill="FFFFFF"/>
        </w:rPr>
      </w:pPr>
      <w:r w:rsidRPr="00064D40">
        <w:rPr>
          <w:rFonts w:ascii="Trebuchet MS" w:hAnsi="Trebuchet MS"/>
          <w:b/>
          <w:color w:val="666666"/>
          <w:sz w:val="23"/>
          <w:szCs w:val="23"/>
          <w:shd w:val="clear" w:color="auto" w:fill="FFFFFF"/>
        </w:rPr>
        <w:t>14---</w:t>
      </w:r>
      <w:r w:rsidR="00F83D79" w:rsidRPr="00064D40">
        <w:rPr>
          <w:rFonts w:ascii="Trebuchet MS" w:hAnsi="Trebuchet MS"/>
          <w:b/>
          <w:color w:val="666666"/>
          <w:sz w:val="23"/>
          <w:szCs w:val="23"/>
          <w:shd w:val="clear" w:color="auto" w:fill="FFFFFF"/>
        </w:rPr>
        <w:t>-</w:t>
      </w:r>
      <w:r w:rsidR="00F83D79" w:rsidRPr="00064D40">
        <w:rPr>
          <w:rFonts w:ascii="Trebuchet MS" w:hAnsi="Trebuchet MS"/>
          <w:color w:val="666666"/>
          <w:sz w:val="23"/>
          <w:szCs w:val="23"/>
          <w:shd w:val="clear" w:color="auto" w:fill="FFFFFF"/>
        </w:rPr>
        <w:t>2022/1-9- ve 25 sayılı Ürün Güvenliği Denetimi Tebliğleri kapsamında yer alan ürünlerin denetiminin Ticaret Bakanlığı adına TSE tarafından yapıldığı,</w:t>
      </w:r>
    </w:p>
    <w:p w:rsidR="00F83D79" w:rsidRPr="00064D40" w:rsidRDefault="00F83D79" w:rsidP="00064D40">
      <w:pPr>
        <w:shd w:val="clear" w:color="auto" w:fill="FFFFFF"/>
        <w:spacing w:before="100" w:beforeAutospacing="1" w:after="100" w:afterAutospacing="1" w:line="240" w:lineRule="auto"/>
        <w:rPr>
          <w:rFonts w:ascii="Trebuchet MS" w:hAnsi="Trebuchet MS"/>
          <w:color w:val="666666"/>
          <w:sz w:val="23"/>
          <w:szCs w:val="23"/>
          <w:shd w:val="clear" w:color="auto" w:fill="FFFFFF"/>
        </w:rPr>
      </w:pPr>
      <w:r w:rsidRPr="00064D40">
        <w:rPr>
          <w:rFonts w:ascii="Trebuchet MS" w:hAnsi="Trebuchet MS"/>
          <w:color w:val="666666"/>
          <w:sz w:val="23"/>
          <w:szCs w:val="23"/>
          <w:shd w:val="clear" w:color="auto" w:fill="FFFFFF"/>
        </w:rPr>
        <w:t>-Diğer Ürün Güvenliği ve Denetimi Tebliğleri kapsamında yer alan ürünlerin denetiminin ise Ticaret Bakanlığı Ürün Güvenliği Denetimleri Müdürlükleri tarafından yapıldığı,</w:t>
      </w:r>
    </w:p>
    <w:p w:rsidR="00F83D79" w:rsidRPr="00064D40" w:rsidRDefault="00F83D79" w:rsidP="00064D40">
      <w:pPr>
        <w:shd w:val="clear" w:color="auto" w:fill="FFFFFF"/>
        <w:spacing w:before="100" w:beforeAutospacing="1" w:after="100" w:afterAutospacing="1" w:line="240" w:lineRule="auto"/>
        <w:rPr>
          <w:rFonts w:ascii="Trebuchet MS" w:hAnsi="Trebuchet MS"/>
          <w:color w:val="666666"/>
          <w:sz w:val="23"/>
          <w:szCs w:val="23"/>
          <w:shd w:val="clear" w:color="auto" w:fill="FFFFFF"/>
        </w:rPr>
      </w:pPr>
      <w:r w:rsidRPr="00064D40">
        <w:rPr>
          <w:rFonts w:ascii="Trebuchet MS" w:hAnsi="Trebuchet MS"/>
          <w:color w:val="666666"/>
          <w:sz w:val="23"/>
          <w:szCs w:val="23"/>
          <w:shd w:val="clear" w:color="auto" w:fill="FFFFFF"/>
        </w:rPr>
        <w:t>-Söz konusu ürünlerin ithalat denetimlerine ilişkin usul ve esasların Ürün Güvenliği ve Denetimi Genel Müdürlüğünce belirlenmekte olduğu ve denetim süreçlerinde yaşanan aksaklıklara çözüm üretildiği,</w:t>
      </w:r>
    </w:p>
    <w:p w:rsidR="00F83D79" w:rsidRPr="00064D40" w:rsidRDefault="00F83D79" w:rsidP="00064D40">
      <w:pPr>
        <w:shd w:val="clear" w:color="auto" w:fill="FFFFFF"/>
        <w:spacing w:before="100" w:beforeAutospacing="1" w:after="100" w:afterAutospacing="1" w:line="240" w:lineRule="auto"/>
        <w:rPr>
          <w:rFonts w:ascii="Trebuchet MS" w:hAnsi="Trebuchet MS"/>
          <w:color w:val="666666"/>
          <w:sz w:val="23"/>
          <w:szCs w:val="23"/>
          <w:shd w:val="clear" w:color="auto" w:fill="FFFFFF"/>
        </w:rPr>
      </w:pPr>
      <w:r w:rsidRPr="00064D40">
        <w:rPr>
          <w:rFonts w:ascii="Trebuchet MS" w:hAnsi="Trebuchet MS"/>
          <w:color w:val="666666"/>
          <w:sz w:val="23"/>
          <w:szCs w:val="23"/>
          <w:shd w:val="clear" w:color="auto" w:fill="FFFFFF"/>
        </w:rPr>
        <w:t>-Bu çerçevede, ithalat denetimlerine ilişkin bir sorunla karşılaşılması halinde konunun doğrudan Ürün Güvenliği ve Denetimi Genel Müdürlüğüne iletilmesi gerektiği, ilgili yazıların Gümrük Müdürlüklerince Türk Standartları Enstitüsüne yazılmadan önce Bölge Müdürlüklerine bağlı olan Ürün Güvenliği Denetimleri Müdürlüklerinden bilgi almasında fayda görüldüğü,</w:t>
      </w:r>
    </w:p>
    <w:p w:rsidR="00F83D79" w:rsidRPr="00064D40" w:rsidRDefault="00F83D79" w:rsidP="00064D40">
      <w:pPr>
        <w:shd w:val="clear" w:color="auto" w:fill="FFFFFF"/>
        <w:spacing w:before="100" w:beforeAutospacing="1" w:after="100" w:afterAutospacing="1" w:line="240" w:lineRule="auto"/>
        <w:rPr>
          <w:rFonts w:ascii="Trebuchet MS" w:hAnsi="Trebuchet MS"/>
          <w:color w:val="666666"/>
          <w:sz w:val="23"/>
          <w:szCs w:val="23"/>
          <w:shd w:val="clear" w:color="auto" w:fill="FFFFFF"/>
        </w:rPr>
      </w:pPr>
      <w:r w:rsidRPr="00064D40">
        <w:rPr>
          <w:rFonts w:ascii="Trebuchet MS" w:hAnsi="Trebuchet MS"/>
          <w:color w:val="666666"/>
          <w:sz w:val="23"/>
          <w:szCs w:val="23"/>
          <w:shd w:val="clear" w:color="auto" w:fill="FFFFFF"/>
        </w:rPr>
        <w:t>Konulu Ürün Güvenliği ve Denetimi</w:t>
      </w:r>
      <w:r w:rsidR="00064D40">
        <w:rPr>
          <w:rFonts w:ascii="Trebuchet MS" w:hAnsi="Trebuchet MS"/>
          <w:color w:val="666666"/>
          <w:sz w:val="23"/>
          <w:szCs w:val="23"/>
          <w:shd w:val="clear" w:color="auto" w:fill="FFFFFF"/>
        </w:rPr>
        <w:t xml:space="preserve"> Genel Müdürlüğü yazısı aşağıdaki linktedir.</w:t>
      </w:r>
    </w:p>
    <w:p w:rsidR="00F83D79" w:rsidRDefault="00BD6649">
      <w:hyperlink r:id="rId17" w:history="1">
        <w:r w:rsidR="00F83D79" w:rsidRPr="00F11878">
          <w:rPr>
            <w:rStyle w:val="Kpr"/>
          </w:rPr>
          <w:t>http://www.lojiblog.com/services/viewer.php?data=16637</w:t>
        </w:r>
      </w:hyperlink>
    </w:p>
    <w:p w:rsidR="00F83D79" w:rsidRDefault="00064D40">
      <w:pPr>
        <w:rPr>
          <w:rFonts w:ascii="Trebuchet MS" w:hAnsi="Trebuchet MS"/>
          <w:color w:val="666666"/>
          <w:sz w:val="23"/>
          <w:szCs w:val="23"/>
          <w:shd w:val="clear" w:color="auto" w:fill="FFFFFF"/>
        </w:rPr>
      </w:pPr>
      <w:r w:rsidRPr="00064D40">
        <w:rPr>
          <w:rFonts w:ascii="Trebuchet MS" w:hAnsi="Trebuchet MS"/>
          <w:b/>
          <w:color w:val="666666"/>
          <w:sz w:val="23"/>
          <w:szCs w:val="23"/>
          <w:shd w:val="clear" w:color="auto" w:fill="FFFFFF"/>
        </w:rPr>
        <w:t>15----</w:t>
      </w:r>
      <w:r w:rsidR="00F83D79">
        <w:rPr>
          <w:rFonts w:ascii="Trebuchet MS" w:hAnsi="Trebuchet MS"/>
          <w:color w:val="666666"/>
          <w:sz w:val="23"/>
          <w:szCs w:val="23"/>
          <w:shd w:val="clear" w:color="auto" w:fill="FFFFFF"/>
        </w:rPr>
        <w:t xml:space="preserve">Gümrük Kanununun 168 maddesi uyarınca Elektronik Ticaret Gümrük Beyannamesi (ETGB) kapsamında geri gelen eşyaya ilişkin olarak KDV iadesi alınıp alınmadığına ilişkin yazışmaların elektronik ortama alınması ile ilgili Muratbey </w:t>
      </w:r>
      <w:r>
        <w:rPr>
          <w:rFonts w:ascii="Trebuchet MS" w:hAnsi="Trebuchet MS"/>
          <w:color w:val="666666"/>
          <w:sz w:val="23"/>
          <w:szCs w:val="23"/>
          <w:shd w:val="clear" w:color="auto" w:fill="FFFFFF"/>
        </w:rPr>
        <w:t>Gümrük Müdürlüğü yazısı aşağıdaki linktedir.</w:t>
      </w:r>
    </w:p>
    <w:p w:rsidR="00F83D79" w:rsidRDefault="00BD6649">
      <w:hyperlink r:id="rId18" w:history="1">
        <w:r w:rsidR="00F83D79" w:rsidRPr="00F11878">
          <w:rPr>
            <w:rStyle w:val="Kpr"/>
          </w:rPr>
          <w:t>http://www.lojiblog.com/services/viewer.php?data=16645</w:t>
        </w:r>
      </w:hyperlink>
    </w:p>
    <w:p w:rsidR="00F83D79" w:rsidRPr="00064D40" w:rsidRDefault="00064D40">
      <w:pPr>
        <w:rPr>
          <w:rFonts w:ascii="Trebuchet MS" w:hAnsi="Trebuchet MS"/>
          <w:color w:val="666666"/>
          <w:sz w:val="23"/>
          <w:szCs w:val="23"/>
          <w:shd w:val="clear" w:color="auto" w:fill="FFFFFF"/>
        </w:rPr>
      </w:pPr>
      <w:r w:rsidRPr="00064D40">
        <w:rPr>
          <w:rFonts w:ascii="Trebuchet MS" w:hAnsi="Trebuchet MS"/>
          <w:b/>
          <w:color w:val="666666"/>
          <w:sz w:val="23"/>
          <w:szCs w:val="23"/>
          <w:shd w:val="clear" w:color="auto" w:fill="FFFFFF"/>
        </w:rPr>
        <w:t>16----</w:t>
      </w:r>
      <w:r w:rsidR="00F83D79" w:rsidRPr="00064D40">
        <w:rPr>
          <w:rFonts w:ascii="Trebuchet MS" w:hAnsi="Trebuchet MS"/>
          <w:color w:val="666666"/>
          <w:sz w:val="23"/>
          <w:szCs w:val="23"/>
          <w:shd w:val="clear" w:color="auto" w:fill="FFFFFF"/>
        </w:rPr>
        <w:t>Yatırıma başlama tarihi 26.06.2021 tarihinden önce olan ve yatırım teşvik belgeleri kapsamında revizyon yapılarak Yatırımlarda Devlet Yardımları Hakkında Kararın 9'ncu maddesi uyarınca karara ekli EK-8 sayılı listede yer alıp ithalatları gümrük vergisi muafiyeti dışında tutulan eşyanın, yatırım teşvik belgesi kapsamı ithal makine ve teçhizat listesine alınması durumunda bu eşyaya belgede öngörüldüğü şekilde muafiyet uygulanmasında sakınca bulunmadığı konulu Gümrükler</w:t>
      </w:r>
      <w:r>
        <w:rPr>
          <w:rFonts w:ascii="Trebuchet MS" w:hAnsi="Trebuchet MS"/>
          <w:color w:val="666666"/>
          <w:sz w:val="23"/>
          <w:szCs w:val="23"/>
          <w:shd w:val="clear" w:color="auto" w:fill="FFFFFF"/>
        </w:rPr>
        <w:t xml:space="preserve"> Genel Müdürlüğü yazısı aşağıdaki linktedir.</w:t>
      </w:r>
    </w:p>
    <w:p w:rsidR="00F83D79" w:rsidRDefault="00BD6649">
      <w:hyperlink r:id="rId19" w:history="1">
        <w:r w:rsidR="00F83D79" w:rsidRPr="00F11878">
          <w:rPr>
            <w:rStyle w:val="Kpr"/>
          </w:rPr>
          <w:t>http://www.lojiblog.com/services/viewer.php?data=16653</w:t>
        </w:r>
      </w:hyperlink>
    </w:p>
    <w:p w:rsidR="00F83D79" w:rsidRPr="00064D40" w:rsidRDefault="00064D40">
      <w:pPr>
        <w:rPr>
          <w:rFonts w:ascii="Trebuchet MS" w:hAnsi="Trebuchet MS"/>
          <w:color w:val="666666"/>
          <w:sz w:val="23"/>
          <w:szCs w:val="23"/>
          <w:shd w:val="clear" w:color="auto" w:fill="FFFFFF"/>
        </w:rPr>
      </w:pPr>
      <w:r w:rsidRPr="00064D40">
        <w:rPr>
          <w:rFonts w:ascii="Trebuchet MS" w:hAnsi="Trebuchet MS"/>
          <w:b/>
          <w:color w:val="666666"/>
          <w:sz w:val="23"/>
          <w:szCs w:val="23"/>
          <w:shd w:val="clear" w:color="auto" w:fill="FFFFFF"/>
        </w:rPr>
        <w:t>17----</w:t>
      </w:r>
      <w:r w:rsidR="00F83D79" w:rsidRPr="00064D40">
        <w:rPr>
          <w:rFonts w:ascii="Trebuchet MS" w:hAnsi="Trebuchet MS"/>
          <w:color w:val="666666"/>
          <w:sz w:val="23"/>
          <w:szCs w:val="23"/>
          <w:shd w:val="clear" w:color="auto" w:fill="FFFFFF"/>
        </w:rPr>
        <w:t>D-8 üye Devletleri arasındaki Tercihli Ticaret Anlaşması kapsamında Bangla</w:t>
      </w:r>
      <w:r>
        <w:rPr>
          <w:rFonts w:ascii="Trebuchet MS" w:hAnsi="Trebuchet MS"/>
          <w:color w:val="666666"/>
          <w:sz w:val="23"/>
          <w:szCs w:val="23"/>
          <w:shd w:val="clear" w:color="auto" w:fill="FFFFFF"/>
        </w:rPr>
        <w:t>deş’e ait taviz listesi aşağıdaki linktedir.</w:t>
      </w:r>
    </w:p>
    <w:p w:rsidR="00F83D79" w:rsidRDefault="00BD6649">
      <w:hyperlink r:id="rId20" w:history="1">
        <w:r w:rsidR="00F83D79" w:rsidRPr="00F11878">
          <w:rPr>
            <w:rStyle w:val="Kpr"/>
          </w:rPr>
          <w:t>http://www.lojiblog.com/services/viewer.php?data=16660</w:t>
        </w:r>
      </w:hyperlink>
    </w:p>
    <w:p w:rsidR="00F83D79" w:rsidRDefault="00064D40">
      <w:pPr>
        <w:rPr>
          <w:rFonts w:ascii="Trebuchet MS" w:hAnsi="Trebuchet MS"/>
          <w:color w:val="666666"/>
          <w:sz w:val="23"/>
          <w:szCs w:val="23"/>
          <w:shd w:val="clear" w:color="auto" w:fill="FFFFFF"/>
        </w:rPr>
      </w:pPr>
      <w:r w:rsidRPr="00064D40">
        <w:rPr>
          <w:rFonts w:ascii="Trebuchet MS" w:hAnsi="Trebuchet MS"/>
          <w:b/>
          <w:color w:val="666666"/>
          <w:sz w:val="23"/>
          <w:szCs w:val="23"/>
          <w:shd w:val="clear" w:color="auto" w:fill="FFFFFF"/>
        </w:rPr>
        <w:t>18----</w:t>
      </w:r>
      <w:r w:rsidR="00F83D79">
        <w:rPr>
          <w:rFonts w:ascii="Trebuchet MS" w:hAnsi="Trebuchet MS"/>
          <w:color w:val="666666"/>
          <w:sz w:val="23"/>
          <w:szCs w:val="23"/>
          <w:shd w:val="clear" w:color="auto" w:fill="FFFFFF"/>
        </w:rPr>
        <w:t>07-13 Kasım 2022 haftası ekonomik geliş</w:t>
      </w:r>
      <w:r>
        <w:rPr>
          <w:rFonts w:ascii="Trebuchet MS" w:hAnsi="Trebuchet MS"/>
          <w:color w:val="666666"/>
          <w:sz w:val="23"/>
          <w:szCs w:val="23"/>
          <w:shd w:val="clear" w:color="auto" w:fill="FFFFFF"/>
        </w:rPr>
        <w:t>meler konulu özel rapor aşağıdaki linktedir.</w:t>
      </w:r>
    </w:p>
    <w:p w:rsidR="00F83D79" w:rsidRDefault="00BD6649">
      <w:hyperlink r:id="rId21" w:history="1">
        <w:r w:rsidR="00F83D79" w:rsidRPr="00F11878">
          <w:rPr>
            <w:rStyle w:val="Kpr"/>
          </w:rPr>
          <w:t>http://www.lojiblog.com/services/viewer.php?data=16668</w:t>
        </w:r>
      </w:hyperlink>
    </w:p>
    <w:p w:rsidR="00F83D79" w:rsidRDefault="00064D40">
      <w:pPr>
        <w:rPr>
          <w:rFonts w:ascii="Trebuchet MS" w:hAnsi="Trebuchet MS"/>
          <w:color w:val="666666"/>
          <w:sz w:val="23"/>
          <w:szCs w:val="23"/>
          <w:shd w:val="clear" w:color="auto" w:fill="FFFFFF"/>
        </w:rPr>
      </w:pPr>
      <w:r w:rsidRPr="00064D40">
        <w:rPr>
          <w:rFonts w:ascii="Trebuchet MS" w:hAnsi="Trebuchet MS"/>
          <w:b/>
          <w:color w:val="666666"/>
          <w:sz w:val="23"/>
          <w:szCs w:val="23"/>
          <w:shd w:val="clear" w:color="auto" w:fill="FFFFFF"/>
        </w:rPr>
        <w:t>19----</w:t>
      </w:r>
      <w:r w:rsidR="00F83D79">
        <w:rPr>
          <w:rFonts w:ascii="Trebuchet MS" w:hAnsi="Trebuchet MS"/>
          <w:color w:val="666666"/>
          <w:sz w:val="23"/>
          <w:szCs w:val="23"/>
          <w:shd w:val="clear" w:color="auto" w:fill="FFFFFF"/>
        </w:rPr>
        <w:t>2529.10 tarife alt pozisyonunda yer alan feldispatın ihracı kayda bağlı mallar listesine</w:t>
      </w:r>
      <w:r w:rsidR="004F10F0">
        <w:rPr>
          <w:rFonts w:ascii="Trebuchet MS" w:hAnsi="Trebuchet MS"/>
          <w:color w:val="666666"/>
          <w:sz w:val="23"/>
          <w:szCs w:val="23"/>
          <w:shd w:val="clear" w:color="auto" w:fill="FFFFFF"/>
        </w:rPr>
        <w:t xml:space="preserve"> alınmasına dair tebliğ aşağıdaki linktedir.</w:t>
      </w:r>
    </w:p>
    <w:p w:rsidR="00F83D79" w:rsidRDefault="00BD6649">
      <w:hyperlink r:id="rId22" w:history="1">
        <w:r w:rsidR="00F83D79" w:rsidRPr="00F11878">
          <w:rPr>
            <w:rStyle w:val="Kpr"/>
          </w:rPr>
          <w:t>http://www.lojiblog.com/services/viewer.php?data=16676</w:t>
        </w:r>
      </w:hyperlink>
    </w:p>
    <w:p w:rsidR="00F83D79" w:rsidRDefault="004F10F0">
      <w:pPr>
        <w:rPr>
          <w:rFonts w:ascii="Trebuchet MS" w:hAnsi="Trebuchet MS"/>
          <w:color w:val="666666"/>
          <w:sz w:val="23"/>
          <w:szCs w:val="23"/>
          <w:shd w:val="clear" w:color="auto" w:fill="FFFFFF"/>
        </w:rPr>
      </w:pPr>
      <w:r w:rsidRPr="004F10F0">
        <w:rPr>
          <w:rFonts w:ascii="Trebuchet MS" w:hAnsi="Trebuchet MS"/>
          <w:b/>
          <w:color w:val="666666"/>
          <w:sz w:val="23"/>
          <w:szCs w:val="23"/>
          <w:shd w:val="clear" w:color="auto" w:fill="FFFFFF"/>
        </w:rPr>
        <w:t>20----</w:t>
      </w:r>
      <w:r w:rsidR="00F83D79">
        <w:rPr>
          <w:rFonts w:ascii="Trebuchet MS" w:hAnsi="Trebuchet MS"/>
          <w:color w:val="666666"/>
          <w:sz w:val="23"/>
          <w:szCs w:val="23"/>
          <w:shd w:val="clear" w:color="auto" w:fill="FFFFFF"/>
        </w:rPr>
        <w:t>İstanbul Gümrük Müşavirleri Derneğinin özet beyan eksiklik ve fazlalıklarındaki uygulamalar ile ilgili görüşlerimiz konulu Gümrükler Genel Müdür</w:t>
      </w:r>
      <w:r>
        <w:rPr>
          <w:rFonts w:ascii="Trebuchet MS" w:hAnsi="Trebuchet MS"/>
          <w:color w:val="666666"/>
          <w:sz w:val="23"/>
          <w:szCs w:val="23"/>
          <w:shd w:val="clear" w:color="auto" w:fill="FFFFFF"/>
        </w:rPr>
        <w:t>lüğüne muhatap yazıları aşağıdaki linktedir.</w:t>
      </w:r>
    </w:p>
    <w:p w:rsidR="00F83D79" w:rsidRDefault="00BD6649">
      <w:hyperlink r:id="rId23" w:history="1">
        <w:r w:rsidR="00F83D79" w:rsidRPr="00F11878">
          <w:rPr>
            <w:rStyle w:val="Kpr"/>
          </w:rPr>
          <w:t>http://www.lojiblog.com/services/viewer.php?data=16683</w:t>
        </w:r>
      </w:hyperlink>
    </w:p>
    <w:p w:rsidR="00F83D79" w:rsidRPr="004F10F0" w:rsidRDefault="004F10F0">
      <w:pPr>
        <w:rPr>
          <w:rFonts w:ascii="Trebuchet MS" w:hAnsi="Trebuchet MS"/>
          <w:color w:val="666666"/>
          <w:sz w:val="23"/>
          <w:szCs w:val="23"/>
          <w:shd w:val="clear" w:color="auto" w:fill="FFFFFF"/>
        </w:rPr>
      </w:pPr>
      <w:r w:rsidRPr="004F10F0">
        <w:rPr>
          <w:rFonts w:ascii="Trebuchet MS" w:hAnsi="Trebuchet MS"/>
          <w:b/>
          <w:color w:val="666666"/>
          <w:sz w:val="23"/>
          <w:szCs w:val="23"/>
          <w:shd w:val="clear" w:color="auto" w:fill="FFFFFF"/>
        </w:rPr>
        <w:t>21----</w:t>
      </w:r>
      <w:r w:rsidR="00F83D79" w:rsidRPr="004F10F0">
        <w:rPr>
          <w:rFonts w:ascii="Trebuchet MS" w:hAnsi="Trebuchet MS"/>
          <w:color w:val="666666"/>
          <w:sz w:val="23"/>
          <w:szCs w:val="23"/>
          <w:shd w:val="clear" w:color="auto" w:fill="FFFFFF"/>
        </w:rPr>
        <w:t>Ürün Güvenliği ve Denetimi Tebliğleri kapsamında yapılan ithalat denetimlerine ilişkin bir sorunla karşılaşılması durumunda konunun doğrudan ÜGD Genel Müdürlüğüne iletilmesi gerektiği, ancak serbest dolaşıma giriş beyannamesi tescil edilen ürünlere ait GTİP lerin sonradan yapılan kontrol neticesinde ÜGD Tebliğlerinin kapsamına girdiğinin tespiti durumunda, söz konusu Tebliğlerin ilgili maddesinde belirtilen Piyasa Gözetimi ve Denetiminden sorumlu otoriteye bildirilmesi gerektiği konulu Ürün Güvenliği ve Denetimi</w:t>
      </w:r>
      <w:r>
        <w:rPr>
          <w:rFonts w:ascii="Trebuchet MS" w:hAnsi="Trebuchet MS"/>
          <w:color w:val="666666"/>
          <w:sz w:val="23"/>
          <w:szCs w:val="23"/>
          <w:shd w:val="clear" w:color="auto" w:fill="FFFFFF"/>
        </w:rPr>
        <w:t xml:space="preserve"> Genel Müdürlüğü yazısı aşağıdaki linktedir.</w:t>
      </w:r>
    </w:p>
    <w:p w:rsidR="00F83D79" w:rsidRDefault="00BD6649">
      <w:hyperlink r:id="rId24" w:history="1">
        <w:r w:rsidR="00F83D79" w:rsidRPr="00F11878">
          <w:rPr>
            <w:rStyle w:val="Kpr"/>
          </w:rPr>
          <w:t>http://www.lojiblog.com/services/viewer.php?data=16691</w:t>
        </w:r>
      </w:hyperlink>
    </w:p>
    <w:p w:rsidR="00F83D79" w:rsidRPr="004F10F0" w:rsidRDefault="004F10F0" w:rsidP="00F83D79">
      <w:pPr>
        <w:shd w:val="clear" w:color="auto" w:fill="FFFFFF"/>
        <w:spacing w:line="240" w:lineRule="auto"/>
        <w:rPr>
          <w:rFonts w:ascii="Trebuchet MS" w:hAnsi="Trebuchet MS"/>
          <w:color w:val="666666"/>
          <w:sz w:val="23"/>
          <w:szCs w:val="23"/>
          <w:shd w:val="clear" w:color="auto" w:fill="FFFFFF"/>
        </w:rPr>
      </w:pPr>
      <w:r w:rsidRPr="004F10F0">
        <w:rPr>
          <w:rFonts w:ascii="Trebuchet MS" w:hAnsi="Trebuchet MS"/>
          <w:b/>
          <w:color w:val="666666"/>
          <w:sz w:val="23"/>
          <w:szCs w:val="23"/>
          <w:shd w:val="clear" w:color="auto" w:fill="FFFFFF"/>
        </w:rPr>
        <w:t>22----</w:t>
      </w:r>
      <w:r w:rsidR="00F83D79" w:rsidRPr="004F10F0">
        <w:rPr>
          <w:rFonts w:ascii="Trebuchet MS" w:hAnsi="Trebuchet MS"/>
          <w:color w:val="666666"/>
          <w:sz w:val="23"/>
          <w:szCs w:val="23"/>
          <w:shd w:val="clear" w:color="auto" w:fill="FFFFFF"/>
        </w:rPr>
        <w:t>Destek Yönetim Sistemi üzerinden yapılan kontrol ve tespitlerin akabinde DİR Otomasyon Uygulamasından yapılacak kontrol ve tespitlerin birebir örtüşmesi ifadesinin uygulanmasında tereddüt hâsıl olduğu,</w:t>
      </w:r>
    </w:p>
    <w:p w:rsidR="00F83D79" w:rsidRPr="004F10F0" w:rsidRDefault="00F83D79" w:rsidP="00F83D79">
      <w:pPr>
        <w:shd w:val="clear" w:color="auto" w:fill="FFFFFF"/>
        <w:spacing w:line="240" w:lineRule="auto"/>
        <w:rPr>
          <w:rFonts w:ascii="Trebuchet MS" w:hAnsi="Trebuchet MS"/>
          <w:color w:val="666666"/>
          <w:sz w:val="23"/>
          <w:szCs w:val="23"/>
          <w:shd w:val="clear" w:color="auto" w:fill="FFFFFF"/>
        </w:rPr>
      </w:pPr>
      <w:r w:rsidRPr="004F10F0">
        <w:rPr>
          <w:rFonts w:ascii="Trebuchet MS" w:hAnsi="Trebuchet MS"/>
          <w:color w:val="666666"/>
          <w:sz w:val="23"/>
          <w:szCs w:val="23"/>
          <w:shd w:val="clear" w:color="auto" w:fill="FFFFFF"/>
        </w:rPr>
        <w:t>Bahse konu şartın "DYS üzerinden yapılan kontrol ve tespitlerin akabinde DİR Otomasyon Uygulamasından yapılacak kontrol ve tespitlerin birebir örtüşmesi (gerçekleşen sarfiyat tablosu, ihracat ve ithalat listelerinin aynı olması kaydıyla)" şeklinde uygulanması gerektiği,</w:t>
      </w:r>
    </w:p>
    <w:p w:rsidR="00F83D79" w:rsidRPr="004F10F0" w:rsidRDefault="00F83D79" w:rsidP="00F83D79">
      <w:pPr>
        <w:shd w:val="clear" w:color="auto" w:fill="FFFFFF"/>
        <w:spacing w:line="240" w:lineRule="auto"/>
        <w:rPr>
          <w:rFonts w:ascii="Trebuchet MS" w:hAnsi="Trebuchet MS"/>
          <w:color w:val="666666"/>
          <w:sz w:val="23"/>
          <w:szCs w:val="23"/>
          <w:shd w:val="clear" w:color="auto" w:fill="FFFFFF"/>
        </w:rPr>
      </w:pPr>
      <w:r w:rsidRPr="004F10F0">
        <w:rPr>
          <w:rFonts w:ascii="Trebuchet MS" w:hAnsi="Trebuchet MS"/>
          <w:color w:val="666666"/>
          <w:sz w:val="23"/>
          <w:szCs w:val="23"/>
          <w:shd w:val="clear" w:color="auto" w:fill="FFFFFF"/>
        </w:rPr>
        <w:t>Konulu İhracat</w:t>
      </w:r>
      <w:r w:rsidR="004F10F0">
        <w:rPr>
          <w:rFonts w:ascii="Trebuchet MS" w:hAnsi="Trebuchet MS"/>
          <w:color w:val="666666"/>
          <w:sz w:val="23"/>
          <w:szCs w:val="23"/>
          <w:shd w:val="clear" w:color="auto" w:fill="FFFFFF"/>
        </w:rPr>
        <w:t xml:space="preserve"> Genel Müdürlüğü yazısı aşağıdaki linktedir.</w:t>
      </w:r>
    </w:p>
    <w:p w:rsidR="00F83D79" w:rsidRDefault="00BD6649">
      <w:hyperlink r:id="rId25" w:history="1">
        <w:r w:rsidR="00F83D79" w:rsidRPr="00F11878">
          <w:rPr>
            <w:rStyle w:val="Kpr"/>
          </w:rPr>
          <w:t>http://www.lojiblog.com/services/viewer.php?data=16699</w:t>
        </w:r>
      </w:hyperlink>
    </w:p>
    <w:p w:rsidR="00F83D79" w:rsidRDefault="00015873">
      <w:pPr>
        <w:rPr>
          <w:rFonts w:ascii="Trebuchet MS" w:hAnsi="Trebuchet MS"/>
          <w:color w:val="666666"/>
          <w:sz w:val="23"/>
          <w:szCs w:val="23"/>
          <w:shd w:val="clear" w:color="auto" w:fill="FFFFFF"/>
        </w:rPr>
      </w:pPr>
      <w:r>
        <w:rPr>
          <w:rFonts w:ascii="Trebuchet MS" w:hAnsi="Trebuchet MS"/>
          <w:b/>
          <w:color w:val="666666"/>
          <w:sz w:val="23"/>
          <w:szCs w:val="23"/>
          <w:shd w:val="clear" w:color="auto" w:fill="FFFFFF"/>
        </w:rPr>
        <w:t>23</w:t>
      </w:r>
      <w:r w:rsidR="004F10F0" w:rsidRPr="004F10F0">
        <w:rPr>
          <w:rFonts w:ascii="Trebuchet MS" w:hAnsi="Trebuchet MS"/>
          <w:b/>
          <w:color w:val="666666"/>
          <w:sz w:val="23"/>
          <w:szCs w:val="23"/>
          <w:shd w:val="clear" w:color="auto" w:fill="FFFFFF"/>
        </w:rPr>
        <w:t>----</w:t>
      </w:r>
      <w:r w:rsidR="00F83D79">
        <w:rPr>
          <w:rFonts w:ascii="Trebuchet MS" w:hAnsi="Trebuchet MS"/>
          <w:color w:val="666666"/>
          <w:sz w:val="23"/>
          <w:szCs w:val="23"/>
          <w:shd w:val="clear" w:color="auto" w:fill="FFFFFF"/>
        </w:rPr>
        <w:t xml:space="preserve">2023 yılı Ocak ayı itibariyle Ulusal transit rejimi kapsamlı mektuplarının e-teminat olarak alınacağı, bu tarihten sonra </w:t>
      </w:r>
      <w:r w:rsidR="004F10F0">
        <w:rPr>
          <w:rFonts w:ascii="Trebuchet MS" w:hAnsi="Trebuchet MS"/>
          <w:color w:val="666666"/>
          <w:sz w:val="23"/>
          <w:szCs w:val="23"/>
          <w:shd w:val="clear" w:color="auto" w:fill="FFFFFF"/>
        </w:rPr>
        <w:t>kâğıt</w:t>
      </w:r>
      <w:r w:rsidR="00F83D79">
        <w:rPr>
          <w:rFonts w:ascii="Trebuchet MS" w:hAnsi="Trebuchet MS"/>
          <w:color w:val="666666"/>
          <w:sz w:val="23"/>
          <w:szCs w:val="23"/>
          <w:shd w:val="clear" w:color="auto" w:fill="FFFFFF"/>
        </w:rPr>
        <w:t xml:space="preserve"> ortamda düzenlenmesi halinde kabul edilmemesinin planlandığı konulu Gümrükler</w:t>
      </w:r>
      <w:r w:rsidR="004F10F0">
        <w:rPr>
          <w:rFonts w:ascii="Trebuchet MS" w:hAnsi="Trebuchet MS"/>
          <w:color w:val="666666"/>
          <w:sz w:val="23"/>
          <w:szCs w:val="23"/>
          <w:shd w:val="clear" w:color="auto" w:fill="FFFFFF"/>
        </w:rPr>
        <w:t xml:space="preserve"> Genel Müdürlüğü yazısı aşağıdaki linktedir.</w:t>
      </w:r>
    </w:p>
    <w:p w:rsidR="00F83D79" w:rsidRDefault="00BD6649">
      <w:hyperlink r:id="rId26" w:history="1">
        <w:r w:rsidR="00F83D79" w:rsidRPr="00F11878">
          <w:rPr>
            <w:rStyle w:val="Kpr"/>
          </w:rPr>
          <w:t>http://www.lojiblog.com/services/viewer.php?data=16715</w:t>
        </w:r>
      </w:hyperlink>
    </w:p>
    <w:p w:rsidR="00F83D79" w:rsidRPr="004F10F0" w:rsidRDefault="00015873">
      <w:pPr>
        <w:rPr>
          <w:rFonts w:ascii="Trebuchet MS" w:hAnsi="Trebuchet MS"/>
          <w:color w:val="666666"/>
          <w:sz w:val="23"/>
          <w:szCs w:val="23"/>
          <w:shd w:val="clear" w:color="auto" w:fill="FFFFFF"/>
        </w:rPr>
      </w:pPr>
      <w:r>
        <w:rPr>
          <w:rFonts w:ascii="Trebuchet MS" w:hAnsi="Trebuchet MS"/>
          <w:b/>
          <w:color w:val="666666"/>
          <w:sz w:val="23"/>
          <w:szCs w:val="23"/>
          <w:shd w:val="clear" w:color="auto" w:fill="FFFFFF"/>
        </w:rPr>
        <w:t>24</w:t>
      </w:r>
      <w:r w:rsidR="004F10F0" w:rsidRPr="004F10F0">
        <w:rPr>
          <w:rFonts w:ascii="Trebuchet MS" w:hAnsi="Trebuchet MS"/>
          <w:b/>
          <w:color w:val="666666"/>
          <w:sz w:val="23"/>
          <w:szCs w:val="23"/>
          <w:shd w:val="clear" w:color="auto" w:fill="FFFFFF"/>
        </w:rPr>
        <w:t>----</w:t>
      </w:r>
      <w:r w:rsidR="00F83D79" w:rsidRPr="004F10F0">
        <w:rPr>
          <w:rFonts w:ascii="Trebuchet MS" w:hAnsi="Trebuchet MS"/>
          <w:color w:val="666666"/>
          <w:sz w:val="23"/>
          <w:szCs w:val="23"/>
          <w:shd w:val="clear" w:color="auto" w:fill="FFFFFF"/>
        </w:rPr>
        <w:t>8429.51, 8429.52 ve 8429.59 gümrük tarife pozisyonlarında yer alan 2022 yılında imal edilmiş iş makinalarının, 31.12.2022 tarihine kadar ihraç ülkesinden Türkiye’ye sevk edilmiş olması ve bu hususun uluslararası geçerliliği olan bir yükleme senedi ile tevsik edilmesi, ancak kullanılmış, yenileştirilmiş, kusurlu (defolu) ve yatık (zamanla dayanıklılığını yitirmiş) olmaması, ayrıca, dış ticaret mevzuatı ve diğer ilgili mevzuat çerçevesinde varsa alınması gereken tüm belge ve izinlerin ithalatçı tarafından ilgili mercilerden temin edilmesi kaydıyla, 31.03.2023 tarihine kadar ithalinin İthalat rejim kararının 7. Maddesi kapsamında uygu</w:t>
      </w:r>
      <w:r w:rsidR="004F10F0">
        <w:rPr>
          <w:rFonts w:ascii="Trebuchet MS" w:hAnsi="Trebuchet MS"/>
          <w:color w:val="666666"/>
          <w:sz w:val="23"/>
          <w:szCs w:val="23"/>
          <w:shd w:val="clear" w:color="auto" w:fill="FFFFFF"/>
        </w:rPr>
        <w:t>n görüldüğüne dair yazı aşağıdaki linktedir.</w:t>
      </w:r>
    </w:p>
    <w:p w:rsidR="00F83D79" w:rsidRDefault="00BD6649">
      <w:hyperlink r:id="rId27" w:history="1">
        <w:r w:rsidR="00F83D79" w:rsidRPr="00F11878">
          <w:rPr>
            <w:rStyle w:val="Kpr"/>
          </w:rPr>
          <w:t>http://www.lojiblog.com/services/viewer.php?data=16723</w:t>
        </w:r>
      </w:hyperlink>
    </w:p>
    <w:p w:rsidR="00F83D79" w:rsidRPr="004F10F0" w:rsidRDefault="00015873" w:rsidP="00F83D79">
      <w:pPr>
        <w:shd w:val="clear" w:color="auto" w:fill="FFFFFF"/>
        <w:spacing w:line="240" w:lineRule="auto"/>
        <w:rPr>
          <w:rFonts w:ascii="Trebuchet MS" w:hAnsi="Trebuchet MS"/>
          <w:color w:val="666666"/>
          <w:sz w:val="23"/>
          <w:szCs w:val="23"/>
          <w:shd w:val="clear" w:color="auto" w:fill="FFFFFF"/>
        </w:rPr>
      </w:pPr>
      <w:r>
        <w:rPr>
          <w:rFonts w:ascii="Trebuchet MS" w:hAnsi="Trebuchet MS"/>
          <w:b/>
          <w:color w:val="666666"/>
          <w:sz w:val="23"/>
          <w:szCs w:val="23"/>
          <w:shd w:val="clear" w:color="auto" w:fill="FFFFFF"/>
        </w:rPr>
        <w:t>25</w:t>
      </w:r>
      <w:r w:rsidR="004F10F0" w:rsidRPr="004F10F0">
        <w:rPr>
          <w:rFonts w:ascii="Trebuchet MS" w:hAnsi="Trebuchet MS"/>
          <w:b/>
          <w:color w:val="666666"/>
          <w:sz w:val="23"/>
          <w:szCs w:val="23"/>
          <w:shd w:val="clear" w:color="auto" w:fill="FFFFFF"/>
        </w:rPr>
        <w:t>----</w:t>
      </w:r>
      <w:r w:rsidR="00F83D79" w:rsidRPr="004F10F0">
        <w:rPr>
          <w:rFonts w:ascii="Trebuchet MS" w:hAnsi="Trebuchet MS"/>
          <w:color w:val="666666"/>
          <w:sz w:val="23"/>
          <w:szCs w:val="23"/>
          <w:shd w:val="clear" w:color="auto" w:fill="FFFFFF"/>
        </w:rPr>
        <w:t>Geçici olarak Türkiye’ye kara taşıtı getiren kişilerin, taşıtı gümrük idaresinin gözetimine bırakmadan yurtdışına geçici olarak çıkması durumunda, gümrük kanununun daha ağır ceza içeren 238. Maddesine göre değil daha hafif ceza içeren 241. Maddesine istinaden cezai işleme tabi tutu</w:t>
      </w:r>
      <w:r w:rsidR="004F10F0">
        <w:rPr>
          <w:rFonts w:ascii="Trebuchet MS" w:hAnsi="Trebuchet MS"/>
          <w:color w:val="666666"/>
          <w:sz w:val="23"/>
          <w:szCs w:val="23"/>
          <w:shd w:val="clear" w:color="auto" w:fill="FFFFFF"/>
        </w:rPr>
        <w:t>lacağı konulu düzenleme aşağıdaki linktedir.</w:t>
      </w:r>
    </w:p>
    <w:p w:rsidR="00F83D79" w:rsidRPr="004F10F0" w:rsidRDefault="00F83D79" w:rsidP="00F83D79">
      <w:pPr>
        <w:shd w:val="clear" w:color="auto" w:fill="FFFFFF"/>
        <w:spacing w:line="240" w:lineRule="auto"/>
        <w:rPr>
          <w:rFonts w:ascii="Trebuchet MS" w:hAnsi="Trebuchet MS"/>
          <w:color w:val="666666"/>
          <w:sz w:val="23"/>
          <w:szCs w:val="23"/>
          <w:shd w:val="clear" w:color="auto" w:fill="FFFFFF"/>
        </w:rPr>
      </w:pPr>
      <w:r w:rsidRPr="004F10F0">
        <w:rPr>
          <w:rFonts w:ascii="Trebuchet MS" w:hAnsi="Trebuchet MS"/>
          <w:color w:val="666666"/>
          <w:sz w:val="23"/>
          <w:szCs w:val="23"/>
          <w:shd w:val="clear" w:color="auto" w:fill="FFFFFF"/>
        </w:rPr>
        <w:t>Taşıtın gümrük gözetimine bırakılmadan ilgilinin yurtdışına geçici olarak çıkışına, taşıtın başkası tarafından kullanılmayacağına ilişkin düzenlenen ve bir örneği ilgiliye verilen taahhütnamenin alınması halinde izin verilecektir.</w:t>
      </w:r>
    </w:p>
    <w:p w:rsidR="00F83D79" w:rsidRDefault="00BD6649">
      <w:pPr>
        <w:rPr>
          <w:rStyle w:val="Kpr"/>
        </w:rPr>
      </w:pPr>
      <w:hyperlink r:id="rId28" w:history="1">
        <w:r w:rsidR="00F83D79" w:rsidRPr="00F11878">
          <w:rPr>
            <w:rStyle w:val="Kpr"/>
          </w:rPr>
          <w:t>http://www.lojiblog.com/services/viewer.php?data=16731</w:t>
        </w:r>
      </w:hyperlink>
    </w:p>
    <w:p w:rsidR="00490F8A" w:rsidRPr="00490F8A" w:rsidRDefault="00015873" w:rsidP="00490F8A">
      <w:pPr>
        <w:pStyle w:val="NormalWeb"/>
        <w:shd w:val="clear" w:color="auto" w:fill="FFFFFF"/>
        <w:spacing w:before="0" w:beforeAutospacing="0" w:after="0" w:afterAutospacing="0"/>
        <w:rPr>
          <w:rFonts w:ascii="Trebuchet MS" w:eastAsiaTheme="minorHAnsi" w:hAnsi="Trebuchet MS" w:cstheme="minorBidi"/>
          <w:color w:val="666666"/>
          <w:sz w:val="23"/>
          <w:szCs w:val="23"/>
          <w:shd w:val="clear" w:color="auto" w:fill="FFFFFF"/>
          <w:lang w:eastAsia="en-US"/>
        </w:rPr>
      </w:pPr>
      <w:r>
        <w:rPr>
          <w:rFonts w:ascii="Trebuchet MS" w:eastAsiaTheme="minorHAnsi" w:hAnsi="Trebuchet MS" w:cstheme="minorBidi"/>
          <w:b/>
          <w:color w:val="666666"/>
          <w:sz w:val="23"/>
          <w:szCs w:val="23"/>
          <w:shd w:val="clear" w:color="auto" w:fill="FFFFFF"/>
          <w:lang w:eastAsia="en-US"/>
        </w:rPr>
        <w:t>26</w:t>
      </w:r>
      <w:r w:rsidR="00490F8A" w:rsidRPr="00490F8A">
        <w:rPr>
          <w:rFonts w:ascii="Trebuchet MS" w:eastAsiaTheme="minorHAnsi" w:hAnsi="Trebuchet MS" w:cstheme="minorBidi"/>
          <w:b/>
          <w:color w:val="666666"/>
          <w:sz w:val="23"/>
          <w:szCs w:val="23"/>
          <w:shd w:val="clear" w:color="auto" w:fill="FFFFFF"/>
          <w:lang w:eastAsia="en-US"/>
        </w:rPr>
        <w:t>----</w:t>
      </w:r>
      <w:r w:rsidR="00490F8A" w:rsidRPr="00490F8A">
        <w:rPr>
          <w:rFonts w:ascii="Trebuchet MS" w:eastAsiaTheme="minorHAnsi" w:hAnsi="Trebuchet MS" w:cstheme="minorBidi"/>
          <w:color w:val="666666"/>
          <w:sz w:val="23"/>
          <w:szCs w:val="23"/>
          <w:shd w:val="clear" w:color="auto" w:fill="FFFFFF"/>
          <w:lang w:eastAsia="en-US"/>
        </w:rPr>
        <w:t>Ticaret Bakanlığı Ürün Güvenliği ve Denetimi Genel Müdürlüğü tarafından, ihracatçılarımızı ticarette teknik engeller konusunda bilgilendirmek ve dış pazarlarda karşılaştıkları teknik engellerin aşılmasına rehberlik etmek ve ihracatçılarımızın farklı ülke pazarlarına girişte karşılaştıkları farklı teknik engellere karşı hazırlıklı olması ve ticaretimizin bu engeller sebebiyle aksamadan işlemesine yardımcı olmak amacıyla hazırlandığı belirtilen ‘’Ticarette Teknik Engeller Raporu’’ aşağıdaki linktedir.</w:t>
      </w:r>
    </w:p>
    <w:p w:rsidR="00490F8A" w:rsidRDefault="00BD6649" w:rsidP="00490F8A">
      <w:pPr>
        <w:pStyle w:val="NormalWeb"/>
        <w:shd w:val="clear" w:color="auto" w:fill="FFFFFF"/>
        <w:rPr>
          <w:rFonts w:ascii="Trebuchet MS" w:hAnsi="Trebuchet MS"/>
          <w:color w:val="666666"/>
          <w:sz w:val="23"/>
          <w:szCs w:val="23"/>
        </w:rPr>
      </w:pPr>
      <w:hyperlink r:id="rId29" w:history="1">
        <w:r w:rsidR="00490F8A">
          <w:rPr>
            <w:rStyle w:val="Kpr"/>
            <w:rFonts w:ascii="Calibri" w:hAnsi="Calibri" w:cs="Calibri"/>
            <w:color w:val="0563C1"/>
            <w:sz w:val="22"/>
            <w:szCs w:val="22"/>
          </w:rPr>
          <w:t>https://ticaret.gov.tr/urun-guvenligi/ticarette-teknik-engeller-raporu</w:t>
        </w:r>
      </w:hyperlink>
    </w:p>
    <w:p w:rsidR="00490F8A" w:rsidRDefault="00015873">
      <w:pPr>
        <w:rPr>
          <w:rFonts w:ascii="Trebuchet MS" w:hAnsi="Trebuchet MS"/>
          <w:color w:val="666666"/>
          <w:sz w:val="23"/>
          <w:szCs w:val="23"/>
          <w:shd w:val="clear" w:color="auto" w:fill="FFFFFF"/>
        </w:rPr>
      </w:pPr>
      <w:r>
        <w:rPr>
          <w:rFonts w:ascii="Trebuchet MS" w:hAnsi="Trebuchet MS"/>
          <w:b/>
          <w:color w:val="666666"/>
          <w:sz w:val="23"/>
          <w:szCs w:val="23"/>
          <w:shd w:val="clear" w:color="auto" w:fill="FFFFFF"/>
        </w:rPr>
        <w:t>27</w:t>
      </w:r>
      <w:r w:rsidR="00490F8A" w:rsidRPr="00490F8A">
        <w:rPr>
          <w:rFonts w:ascii="Trebuchet MS" w:hAnsi="Trebuchet MS"/>
          <w:b/>
          <w:color w:val="666666"/>
          <w:sz w:val="23"/>
          <w:szCs w:val="23"/>
          <w:shd w:val="clear" w:color="auto" w:fill="FFFFFF"/>
        </w:rPr>
        <w:t>----</w:t>
      </w:r>
      <w:r w:rsidR="00490F8A">
        <w:rPr>
          <w:rFonts w:ascii="Trebuchet MS" w:hAnsi="Trebuchet MS"/>
          <w:color w:val="666666"/>
          <w:sz w:val="23"/>
          <w:szCs w:val="23"/>
          <w:shd w:val="clear" w:color="auto" w:fill="FFFFFF"/>
        </w:rPr>
        <w:t>Ticaret politikası önlemlerine tabi (5903.20-5603.14 ve 3921.13 tarife alt pozisyonu ile 60. fasılda yer alan kumaşların serbest dolaşıma giriş rejimine tabi tutulmasında menşe araştırması ve dolaşım belgelerinin sonradan kontrolünün yapılması usulleri ile ilgili Gümrükler Genel Müdürlüğü yazısı aşağıdaki linktedir.</w:t>
      </w:r>
    </w:p>
    <w:p w:rsidR="00490F8A" w:rsidRDefault="00BD6649">
      <w:hyperlink r:id="rId30" w:history="1">
        <w:r w:rsidR="00490F8A" w:rsidRPr="00CC34EB">
          <w:rPr>
            <w:rStyle w:val="Kpr"/>
          </w:rPr>
          <w:t>http://www.lojiblog.com/services/viewer.php?data=16747</w:t>
        </w:r>
      </w:hyperlink>
    </w:p>
    <w:p w:rsidR="00490F8A" w:rsidRPr="00490F8A" w:rsidRDefault="00015873" w:rsidP="00490F8A">
      <w:pPr>
        <w:shd w:val="clear" w:color="auto" w:fill="FFFFFF"/>
        <w:spacing w:line="240" w:lineRule="auto"/>
        <w:rPr>
          <w:rFonts w:ascii="Trebuchet MS" w:hAnsi="Trebuchet MS"/>
          <w:color w:val="666666"/>
          <w:sz w:val="23"/>
          <w:szCs w:val="23"/>
          <w:shd w:val="clear" w:color="auto" w:fill="FFFFFF"/>
        </w:rPr>
      </w:pPr>
      <w:r>
        <w:rPr>
          <w:rFonts w:ascii="Trebuchet MS" w:hAnsi="Trebuchet MS"/>
          <w:b/>
          <w:color w:val="666666"/>
          <w:sz w:val="23"/>
          <w:szCs w:val="23"/>
          <w:shd w:val="clear" w:color="auto" w:fill="FFFFFF"/>
        </w:rPr>
        <w:t>28</w:t>
      </w:r>
      <w:r w:rsidR="00490F8A" w:rsidRPr="00490F8A">
        <w:rPr>
          <w:rFonts w:ascii="Trebuchet MS" w:hAnsi="Trebuchet MS"/>
          <w:b/>
          <w:color w:val="666666"/>
          <w:sz w:val="23"/>
          <w:szCs w:val="23"/>
          <w:shd w:val="clear" w:color="auto" w:fill="FFFFFF"/>
        </w:rPr>
        <w:t>----</w:t>
      </w:r>
      <w:r w:rsidR="00490F8A" w:rsidRPr="00490F8A">
        <w:rPr>
          <w:rFonts w:ascii="Trebuchet MS" w:hAnsi="Trebuchet MS"/>
          <w:color w:val="666666"/>
          <w:sz w:val="23"/>
          <w:szCs w:val="23"/>
          <w:shd w:val="clear" w:color="auto" w:fill="FFFFFF"/>
        </w:rPr>
        <w:t>Tareks Sistemi tarafından riskli bulunan ürünlerin fiili denetime yönlendirilmekte olduğu,</w:t>
      </w:r>
    </w:p>
    <w:p w:rsidR="00490F8A" w:rsidRPr="00490F8A" w:rsidRDefault="00490F8A" w:rsidP="00490F8A">
      <w:pPr>
        <w:shd w:val="clear" w:color="auto" w:fill="FFFFFF"/>
        <w:spacing w:line="240" w:lineRule="auto"/>
        <w:rPr>
          <w:rFonts w:ascii="Trebuchet MS" w:hAnsi="Trebuchet MS"/>
          <w:color w:val="666666"/>
          <w:sz w:val="23"/>
          <w:szCs w:val="23"/>
          <w:shd w:val="clear" w:color="auto" w:fill="FFFFFF"/>
        </w:rPr>
      </w:pPr>
      <w:r w:rsidRPr="00490F8A">
        <w:rPr>
          <w:rFonts w:ascii="Trebuchet MS" w:hAnsi="Trebuchet MS"/>
          <w:color w:val="666666"/>
          <w:sz w:val="23"/>
          <w:szCs w:val="23"/>
          <w:shd w:val="clear" w:color="auto" w:fill="FFFFFF"/>
        </w:rPr>
        <w:t>-Bölge Müdürlüklerinde görevli Ticaret Denetmenlerince gerçekleştirilen fiili denetim sonucunda gerekli nitelikleri, işaretlemeyi ve belgelendirmeyi sağlayamayan ürünler kapsamı başvurular için ithalatta ürün güvenliği denetimleri - TAREKS çerçevesinde "Ret: Denetim Sonucu" kararı verilmekte olduğu,</w:t>
      </w:r>
    </w:p>
    <w:p w:rsidR="00490F8A" w:rsidRPr="00490F8A" w:rsidRDefault="00490F8A" w:rsidP="00490F8A">
      <w:pPr>
        <w:shd w:val="clear" w:color="auto" w:fill="FFFFFF"/>
        <w:spacing w:line="240" w:lineRule="auto"/>
        <w:rPr>
          <w:rFonts w:ascii="Trebuchet MS" w:hAnsi="Trebuchet MS"/>
          <w:color w:val="666666"/>
          <w:sz w:val="23"/>
          <w:szCs w:val="23"/>
          <w:shd w:val="clear" w:color="auto" w:fill="FFFFFF"/>
        </w:rPr>
      </w:pPr>
      <w:r w:rsidRPr="00490F8A">
        <w:rPr>
          <w:rFonts w:ascii="Trebuchet MS" w:hAnsi="Trebuchet MS"/>
          <w:color w:val="666666"/>
          <w:sz w:val="23"/>
          <w:szCs w:val="23"/>
          <w:shd w:val="clear" w:color="auto" w:fill="FFFFFF"/>
        </w:rPr>
        <w:t>-Risk analizinin geliştirilmesi ve veri çeşitliliğinin arttırılması çalışmaları kapsamında "Ret" sonuçlarının, "Ret: Belge Eksikliği", "Ret: İşaretleme Eksikliği", "Ret: Test Sonucu"; "Ret: Denetim Sonucu", "Ret: Yanıltıcı İşlem" ve "Ret: İlgilisince Düzenlenmeyen Belge" olmak üzere altı gruba ayrılmasının sistem altyapısının tamamlandığı,</w:t>
      </w:r>
    </w:p>
    <w:p w:rsidR="00490F8A" w:rsidRPr="00490F8A" w:rsidRDefault="00490F8A" w:rsidP="00490F8A">
      <w:pPr>
        <w:shd w:val="clear" w:color="auto" w:fill="FFFFFF"/>
        <w:spacing w:line="240" w:lineRule="auto"/>
        <w:rPr>
          <w:rFonts w:ascii="Trebuchet MS" w:hAnsi="Trebuchet MS"/>
          <w:color w:val="666666"/>
          <w:sz w:val="23"/>
          <w:szCs w:val="23"/>
          <w:shd w:val="clear" w:color="auto" w:fill="FFFFFF"/>
        </w:rPr>
      </w:pPr>
      <w:r w:rsidRPr="00490F8A">
        <w:rPr>
          <w:rFonts w:ascii="Trebuchet MS" w:hAnsi="Trebuchet MS"/>
          <w:color w:val="666666"/>
          <w:sz w:val="23"/>
          <w:szCs w:val="23"/>
          <w:shd w:val="clear" w:color="auto" w:fill="FFFFFF"/>
        </w:rPr>
        <w:t>-Ek olarak, "İptal: Mükerrer Başvuru" adıyla yeni bir sonuçlandırma başlığı açıldığı,</w:t>
      </w:r>
    </w:p>
    <w:p w:rsidR="00490F8A" w:rsidRPr="00490F8A" w:rsidRDefault="00490F8A" w:rsidP="00490F8A">
      <w:pPr>
        <w:shd w:val="clear" w:color="auto" w:fill="FFFFFF"/>
        <w:spacing w:before="100" w:beforeAutospacing="1" w:after="100" w:afterAutospacing="1" w:line="240" w:lineRule="auto"/>
        <w:rPr>
          <w:rFonts w:ascii="Trebuchet MS" w:hAnsi="Trebuchet MS"/>
          <w:color w:val="666666"/>
          <w:sz w:val="23"/>
          <w:szCs w:val="23"/>
          <w:shd w:val="clear" w:color="auto" w:fill="FFFFFF"/>
        </w:rPr>
      </w:pPr>
      <w:r w:rsidRPr="00490F8A">
        <w:rPr>
          <w:rFonts w:ascii="Trebuchet MS" w:hAnsi="Trebuchet MS"/>
          <w:color w:val="666666"/>
          <w:sz w:val="23"/>
          <w:szCs w:val="23"/>
          <w:shd w:val="clear" w:color="auto" w:fill="FFFFFF"/>
        </w:rPr>
        <w:t>Konulu Ürün Güvenliği ve Denetimi</w:t>
      </w:r>
      <w:r>
        <w:rPr>
          <w:rFonts w:ascii="Trebuchet MS" w:hAnsi="Trebuchet MS"/>
          <w:color w:val="666666"/>
          <w:sz w:val="23"/>
          <w:szCs w:val="23"/>
          <w:shd w:val="clear" w:color="auto" w:fill="FFFFFF"/>
        </w:rPr>
        <w:t xml:space="preserve"> Genel Müdürlüğü yazısı aşağıdaki linktedir.</w:t>
      </w:r>
    </w:p>
    <w:p w:rsidR="00490F8A" w:rsidRDefault="00BD6649">
      <w:hyperlink r:id="rId31" w:history="1">
        <w:r w:rsidR="00490F8A" w:rsidRPr="00CC34EB">
          <w:rPr>
            <w:rStyle w:val="Kpr"/>
          </w:rPr>
          <w:t>http://www.lojiblog.com/services/viewer.php?data=16755</w:t>
        </w:r>
      </w:hyperlink>
    </w:p>
    <w:p w:rsidR="00490F8A" w:rsidRDefault="00015873">
      <w:pPr>
        <w:rPr>
          <w:rFonts w:ascii="Trebuchet MS" w:hAnsi="Trebuchet MS"/>
          <w:color w:val="666666"/>
          <w:sz w:val="23"/>
          <w:szCs w:val="23"/>
          <w:shd w:val="clear" w:color="auto" w:fill="FFFFFF"/>
        </w:rPr>
      </w:pPr>
      <w:r>
        <w:rPr>
          <w:rFonts w:ascii="Trebuchet MS" w:hAnsi="Trebuchet MS"/>
          <w:b/>
          <w:color w:val="666666"/>
          <w:sz w:val="23"/>
          <w:szCs w:val="23"/>
          <w:shd w:val="clear" w:color="auto" w:fill="FFFFFF"/>
        </w:rPr>
        <w:t>29</w:t>
      </w:r>
      <w:r w:rsidR="00490F8A" w:rsidRPr="00490F8A">
        <w:rPr>
          <w:rFonts w:ascii="Trebuchet MS" w:hAnsi="Trebuchet MS"/>
          <w:b/>
          <w:color w:val="666666"/>
          <w:sz w:val="23"/>
          <w:szCs w:val="23"/>
          <w:shd w:val="clear" w:color="auto" w:fill="FFFFFF"/>
        </w:rPr>
        <w:t>----</w:t>
      </w:r>
      <w:r w:rsidR="00490F8A">
        <w:rPr>
          <w:rFonts w:ascii="Trebuchet MS" w:hAnsi="Trebuchet MS"/>
          <w:color w:val="666666"/>
          <w:sz w:val="23"/>
          <w:szCs w:val="23"/>
          <w:shd w:val="clear" w:color="auto" w:fill="FFFFFF"/>
        </w:rPr>
        <w:t>14-20 Kasım 2022 Haftası Ekonomik Gelişmeler konulu özel rapor aşağıdaki linktedir.</w:t>
      </w:r>
    </w:p>
    <w:p w:rsidR="00490F8A" w:rsidRDefault="00BD6649">
      <w:hyperlink r:id="rId32" w:history="1">
        <w:r w:rsidR="00490F8A" w:rsidRPr="00CC34EB">
          <w:rPr>
            <w:rStyle w:val="Kpr"/>
          </w:rPr>
          <w:t>http://www.lojiblog.com/services/viewer.php?data=16763</w:t>
        </w:r>
      </w:hyperlink>
    </w:p>
    <w:p w:rsidR="00490F8A" w:rsidRPr="00490F8A" w:rsidRDefault="00015873">
      <w:pPr>
        <w:rPr>
          <w:rFonts w:ascii="Trebuchet MS" w:hAnsi="Trebuchet MS"/>
          <w:color w:val="666666"/>
          <w:sz w:val="23"/>
          <w:szCs w:val="23"/>
          <w:shd w:val="clear" w:color="auto" w:fill="FFFFFF"/>
        </w:rPr>
      </w:pPr>
      <w:r>
        <w:rPr>
          <w:rFonts w:ascii="Trebuchet MS" w:hAnsi="Trebuchet MS"/>
          <w:b/>
          <w:color w:val="666666"/>
          <w:sz w:val="23"/>
          <w:szCs w:val="23"/>
          <w:shd w:val="clear" w:color="auto" w:fill="FFFFFF"/>
        </w:rPr>
        <w:t>30</w:t>
      </w:r>
      <w:r w:rsidR="00490F8A" w:rsidRPr="00490F8A">
        <w:rPr>
          <w:rFonts w:ascii="Trebuchet MS" w:hAnsi="Trebuchet MS"/>
          <w:b/>
          <w:color w:val="666666"/>
          <w:sz w:val="23"/>
          <w:szCs w:val="23"/>
          <w:shd w:val="clear" w:color="auto" w:fill="FFFFFF"/>
        </w:rPr>
        <w:t>----</w:t>
      </w:r>
      <w:r w:rsidR="00490F8A" w:rsidRPr="00490F8A">
        <w:rPr>
          <w:rFonts w:ascii="Trebuchet MS" w:hAnsi="Trebuchet MS"/>
          <w:color w:val="666666"/>
          <w:sz w:val="23"/>
          <w:szCs w:val="23"/>
          <w:shd w:val="clear" w:color="auto" w:fill="FFFFFF"/>
        </w:rPr>
        <w:t>Gümrük Müşavirleri Derneklerinin, çıkış ve menşei ülkesi farklı olan kumaş ithalatlarında ayrım yapılmadan menşe araştırması ve kimyagerliğe sevk işlemi yapıldığı, evrak ve beyanları uygun olan firmaların da bu işlemlere tabi tutulduğundan gümrüklerde zaman kaybı ve bundan kaynaklı maddi mağduriyetler yaşandığı konulu Gümrükler Genel Müdü</w:t>
      </w:r>
      <w:r w:rsidR="00490F8A">
        <w:rPr>
          <w:rFonts w:ascii="Trebuchet MS" w:hAnsi="Trebuchet MS"/>
          <w:color w:val="666666"/>
          <w:sz w:val="23"/>
          <w:szCs w:val="23"/>
          <w:shd w:val="clear" w:color="auto" w:fill="FFFFFF"/>
        </w:rPr>
        <w:t>rlüğüne muhatap yazıları aşağıdaki linktedir.</w:t>
      </w:r>
    </w:p>
    <w:p w:rsidR="00490F8A" w:rsidRDefault="00BD6649">
      <w:pPr>
        <w:rPr>
          <w:rStyle w:val="Kpr"/>
        </w:rPr>
      </w:pPr>
      <w:hyperlink r:id="rId33" w:history="1">
        <w:r w:rsidR="00490F8A" w:rsidRPr="00CC34EB">
          <w:rPr>
            <w:rStyle w:val="Kpr"/>
          </w:rPr>
          <w:t>http://www.lojiblog.com/services/viewer.php?data=16770</w:t>
        </w:r>
      </w:hyperlink>
    </w:p>
    <w:p w:rsidR="00E430D7" w:rsidRPr="003C0635" w:rsidRDefault="003C0635" w:rsidP="00E430D7">
      <w:pPr>
        <w:shd w:val="clear" w:color="auto" w:fill="FFFFFF"/>
        <w:spacing w:line="240" w:lineRule="auto"/>
        <w:jc w:val="both"/>
        <w:rPr>
          <w:rFonts w:ascii="Trebuchet MS" w:hAnsi="Trebuchet MS"/>
          <w:color w:val="666666"/>
          <w:sz w:val="23"/>
          <w:szCs w:val="23"/>
          <w:shd w:val="clear" w:color="auto" w:fill="FFFFFF"/>
        </w:rPr>
      </w:pPr>
      <w:r w:rsidRPr="003C0635">
        <w:rPr>
          <w:rFonts w:ascii="Trebuchet MS" w:hAnsi="Trebuchet MS"/>
          <w:b/>
          <w:color w:val="666666"/>
          <w:sz w:val="23"/>
          <w:szCs w:val="23"/>
          <w:shd w:val="clear" w:color="auto" w:fill="FFFFFF"/>
        </w:rPr>
        <w:t>31----</w:t>
      </w:r>
      <w:r w:rsidR="00E430D7" w:rsidRPr="003C0635">
        <w:rPr>
          <w:rFonts w:ascii="Trebuchet MS" w:hAnsi="Trebuchet MS"/>
          <w:color w:val="666666"/>
          <w:sz w:val="23"/>
          <w:szCs w:val="23"/>
          <w:shd w:val="clear" w:color="auto" w:fill="FFFFFF"/>
        </w:rPr>
        <w:t>2022/35 sayılı tebliğ ile Çin Halk Cumhuriyeti Menşeili 4011.20.90, 4011.70.00.00.00, 4011.80.00.00.00, 4011.90.00.00.00GTİP’lerialtında sınıflandırılan “ağır vasıta, zirai araç ve iş makineleri dış lastikleri (kauçuktan yeni dış lastikler)” tanımlı ürünlerin ithalatına yönelik yürürlükte bulunan dampinge karşı kesin önleme ilişkin nihai gözden geçirme soruşturması açılması ve açılan soruşturmanın usul ve esaslar</w:t>
      </w:r>
      <w:r>
        <w:rPr>
          <w:rFonts w:ascii="Trebuchet MS" w:hAnsi="Trebuchet MS"/>
          <w:color w:val="666666"/>
          <w:sz w:val="23"/>
          <w:szCs w:val="23"/>
          <w:shd w:val="clear" w:color="auto" w:fill="FFFFFF"/>
        </w:rPr>
        <w:t>ının belirlenmesi konulu tebliğ linktedir.</w:t>
      </w:r>
    </w:p>
    <w:p w:rsidR="00E430D7" w:rsidRPr="003C0635" w:rsidRDefault="00E430D7" w:rsidP="00E430D7">
      <w:pPr>
        <w:shd w:val="clear" w:color="auto" w:fill="FFFFFF"/>
        <w:spacing w:line="240" w:lineRule="auto"/>
        <w:jc w:val="both"/>
        <w:rPr>
          <w:rFonts w:ascii="Trebuchet MS" w:hAnsi="Trebuchet MS"/>
          <w:color w:val="666666"/>
          <w:sz w:val="23"/>
          <w:szCs w:val="23"/>
          <w:shd w:val="clear" w:color="auto" w:fill="FFFFFF"/>
        </w:rPr>
      </w:pPr>
      <w:r w:rsidRPr="003C0635">
        <w:rPr>
          <w:rFonts w:ascii="Trebuchet MS" w:hAnsi="Trebuchet MS"/>
          <w:color w:val="666666"/>
          <w:sz w:val="23"/>
          <w:szCs w:val="23"/>
          <w:shd w:val="clear" w:color="auto" w:fill="FFFFFF"/>
        </w:rPr>
        <w:t>İlgili ürünlerin Çin Halk Cumhuriyeti menşeili olarak ithalinde hâlihazırda CIF bedelin %60’ı oranında anti</w:t>
      </w:r>
      <w:r w:rsidR="003C0635">
        <w:rPr>
          <w:rFonts w:ascii="Trebuchet MS" w:hAnsi="Trebuchet MS"/>
          <w:color w:val="666666"/>
          <w:sz w:val="23"/>
          <w:szCs w:val="23"/>
          <w:shd w:val="clear" w:color="auto" w:fill="FFFFFF"/>
        </w:rPr>
        <w:t xml:space="preserve"> </w:t>
      </w:r>
      <w:proofErr w:type="gramStart"/>
      <w:r w:rsidRPr="003C0635">
        <w:rPr>
          <w:rFonts w:ascii="Trebuchet MS" w:hAnsi="Trebuchet MS"/>
          <w:color w:val="666666"/>
          <w:sz w:val="23"/>
          <w:szCs w:val="23"/>
          <w:shd w:val="clear" w:color="auto" w:fill="FFFFFF"/>
        </w:rPr>
        <w:t>damping</w:t>
      </w:r>
      <w:proofErr w:type="gramEnd"/>
      <w:r w:rsidRPr="003C0635">
        <w:rPr>
          <w:rFonts w:ascii="Trebuchet MS" w:hAnsi="Trebuchet MS"/>
          <w:color w:val="666666"/>
          <w:sz w:val="23"/>
          <w:szCs w:val="23"/>
          <w:shd w:val="clear" w:color="auto" w:fill="FFFFFF"/>
        </w:rPr>
        <w:t xml:space="preserve"> vergi uygulaması devam etmektedir.</w:t>
      </w:r>
    </w:p>
    <w:p w:rsidR="00E430D7" w:rsidRDefault="00BD6649" w:rsidP="00E430D7">
      <w:pPr>
        <w:pStyle w:val="NormalWeb"/>
        <w:spacing w:before="0" w:beforeAutospacing="0" w:after="160" w:afterAutospacing="0" w:line="285" w:lineRule="atLeast"/>
        <w:rPr>
          <w:rFonts w:ascii="Calibri" w:hAnsi="Calibri" w:cs="Calibri"/>
          <w:color w:val="666666"/>
        </w:rPr>
      </w:pPr>
      <w:hyperlink r:id="rId34" w:history="1">
        <w:r w:rsidR="00E430D7" w:rsidRPr="0054363A">
          <w:rPr>
            <w:rStyle w:val="Kpr"/>
            <w:rFonts w:ascii="Calibri" w:hAnsi="Calibri" w:cs="Calibri"/>
          </w:rPr>
          <w:t>https://www.resmigazete.gov.tr/eskiler/2022/11/20221123-3.htm</w:t>
        </w:r>
      </w:hyperlink>
    </w:p>
    <w:p w:rsidR="00E430D7" w:rsidRPr="003C0635" w:rsidRDefault="003C0635" w:rsidP="00E430D7">
      <w:pPr>
        <w:pStyle w:val="NormalWeb"/>
        <w:spacing w:before="0" w:beforeAutospacing="0" w:after="160" w:afterAutospacing="0" w:line="285" w:lineRule="atLeast"/>
        <w:rPr>
          <w:rFonts w:ascii="Trebuchet MS" w:eastAsiaTheme="minorHAnsi" w:hAnsi="Trebuchet MS" w:cstheme="minorBidi"/>
          <w:color w:val="666666"/>
          <w:sz w:val="23"/>
          <w:szCs w:val="23"/>
          <w:shd w:val="clear" w:color="auto" w:fill="FFFFFF"/>
          <w:lang w:eastAsia="en-US"/>
        </w:rPr>
      </w:pPr>
      <w:r w:rsidRPr="003C0635">
        <w:rPr>
          <w:rFonts w:ascii="Trebuchet MS" w:eastAsiaTheme="minorHAnsi" w:hAnsi="Trebuchet MS" w:cstheme="minorBidi"/>
          <w:b/>
          <w:color w:val="666666"/>
          <w:sz w:val="23"/>
          <w:szCs w:val="23"/>
          <w:shd w:val="clear" w:color="auto" w:fill="FFFFFF"/>
          <w:lang w:eastAsia="en-US"/>
        </w:rPr>
        <w:t>32----</w:t>
      </w:r>
      <w:r w:rsidR="00E430D7" w:rsidRPr="003C0635">
        <w:rPr>
          <w:rFonts w:ascii="Trebuchet MS" w:eastAsiaTheme="minorHAnsi" w:hAnsi="Trebuchet MS" w:cstheme="minorBidi"/>
          <w:color w:val="666666"/>
          <w:sz w:val="23"/>
          <w:szCs w:val="23"/>
          <w:shd w:val="clear" w:color="auto" w:fill="FFFFFF"/>
          <w:lang w:eastAsia="en-US"/>
        </w:rPr>
        <w:t>8703 Tarife Pozisyonunda yer alan binek otomobillerin ÖTV hesaplamalarına esas matrah aralıklarında değişiklik</w:t>
      </w:r>
      <w:r>
        <w:rPr>
          <w:rFonts w:ascii="Trebuchet MS" w:eastAsiaTheme="minorHAnsi" w:hAnsi="Trebuchet MS" w:cstheme="minorBidi"/>
          <w:color w:val="666666"/>
          <w:sz w:val="23"/>
          <w:szCs w:val="23"/>
          <w:shd w:val="clear" w:color="auto" w:fill="FFFFFF"/>
          <w:lang w:eastAsia="en-US"/>
        </w:rPr>
        <w:t xml:space="preserve"> yapılmasına dair karar aşağıdaki linktedir.</w:t>
      </w:r>
    </w:p>
    <w:p w:rsidR="00E430D7" w:rsidRPr="003C0635" w:rsidRDefault="00E430D7" w:rsidP="00E430D7">
      <w:pPr>
        <w:shd w:val="clear" w:color="auto" w:fill="FFFFFF"/>
        <w:spacing w:line="240" w:lineRule="auto"/>
        <w:jc w:val="both"/>
        <w:rPr>
          <w:rFonts w:ascii="Trebuchet MS" w:hAnsi="Trebuchet MS"/>
          <w:color w:val="666666"/>
          <w:sz w:val="23"/>
          <w:szCs w:val="23"/>
          <w:shd w:val="clear" w:color="auto" w:fill="FFFFFF"/>
        </w:rPr>
      </w:pPr>
      <w:r w:rsidRPr="003C0635">
        <w:rPr>
          <w:rFonts w:ascii="Trebuchet MS" w:hAnsi="Trebuchet MS"/>
          <w:color w:val="666666"/>
          <w:sz w:val="23"/>
          <w:szCs w:val="23"/>
          <w:shd w:val="clear" w:color="auto" w:fill="FFFFFF"/>
        </w:rPr>
        <w:t>Yeni ve eski matrah aralıkla ve ÖTV oranlarına ilişkin tablo aşağıdadır</w:t>
      </w:r>
      <w:r w:rsidR="003C0635">
        <w:rPr>
          <w:rFonts w:ascii="Trebuchet MS" w:hAnsi="Trebuchet MS"/>
          <w:color w:val="666666"/>
          <w:sz w:val="23"/>
          <w:szCs w:val="23"/>
          <w:shd w:val="clear" w:color="auto" w:fill="FFFFFF"/>
        </w:rPr>
        <w:t>.</w:t>
      </w:r>
    </w:p>
    <w:tbl>
      <w:tblPr>
        <w:tblW w:w="5000" w:type="pct"/>
        <w:tblCellSpacing w:w="0" w:type="dxa"/>
        <w:tblCellMar>
          <w:left w:w="0" w:type="dxa"/>
          <w:right w:w="0" w:type="dxa"/>
        </w:tblCellMar>
        <w:tblLook w:val="04A0" w:firstRow="1" w:lastRow="0" w:firstColumn="1" w:lastColumn="0" w:noHBand="0" w:noVBand="1"/>
      </w:tblPr>
      <w:tblGrid>
        <w:gridCol w:w="19335"/>
      </w:tblGrid>
      <w:tr w:rsidR="00E430D7" w:rsidTr="00E430D7">
        <w:trPr>
          <w:tblCellSpacing w:w="0" w:type="dxa"/>
        </w:trPr>
        <w:tc>
          <w:tcPr>
            <w:tcW w:w="0" w:type="auto"/>
            <w:shd w:val="clear" w:color="auto" w:fill="F2F2F2"/>
            <w:hideMark/>
          </w:tcPr>
          <w:tbl>
            <w:tblPr>
              <w:tblW w:w="10560" w:type="dxa"/>
              <w:jc w:val="center"/>
              <w:tblCellSpacing w:w="0" w:type="dxa"/>
              <w:tblCellMar>
                <w:left w:w="0" w:type="dxa"/>
                <w:right w:w="0" w:type="dxa"/>
              </w:tblCellMar>
              <w:tblLook w:val="04A0" w:firstRow="1" w:lastRow="0" w:firstColumn="1" w:lastColumn="0" w:noHBand="0" w:noVBand="1"/>
            </w:tblPr>
            <w:tblGrid>
              <w:gridCol w:w="10560"/>
            </w:tblGrid>
            <w:tr w:rsidR="00E430D7" w:rsidTr="00E430D7">
              <w:trPr>
                <w:tblCellSpacing w:w="0" w:type="dxa"/>
                <w:jc w:val="center"/>
              </w:trPr>
              <w:tc>
                <w:tcPr>
                  <w:tcW w:w="0" w:type="auto"/>
                  <w:shd w:val="clear" w:color="auto" w:fill="F2F2F2"/>
                  <w:vAlign w:val="center"/>
                  <w:hideMark/>
                </w:tcPr>
                <w:tbl>
                  <w:tblPr>
                    <w:tblW w:w="10500" w:type="dxa"/>
                    <w:jc w:val="center"/>
                    <w:tblCellSpacing w:w="0" w:type="dxa"/>
                    <w:shd w:val="clear" w:color="auto" w:fill="F2F2F2"/>
                    <w:tblCellMar>
                      <w:left w:w="0" w:type="dxa"/>
                      <w:right w:w="0" w:type="dxa"/>
                    </w:tblCellMar>
                    <w:tblLook w:val="04A0" w:firstRow="1" w:lastRow="0" w:firstColumn="1" w:lastColumn="0" w:noHBand="0" w:noVBand="1"/>
                  </w:tblPr>
                  <w:tblGrid>
                    <w:gridCol w:w="10487"/>
                    <w:gridCol w:w="13"/>
                  </w:tblGrid>
                  <w:tr w:rsidR="00E430D7">
                    <w:trPr>
                      <w:tblCellSpacing w:w="0" w:type="dxa"/>
                      <w:jc w:val="center"/>
                    </w:trPr>
                    <w:tc>
                      <w:tcPr>
                        <w:tcW w:w="0" w:type="auto"/>
                        <w:shd w:val="clear" w:color="auto" w:fill="FFFFFF"/>
                        <w:tcMar>
                          <w:top w:w="0" w:type="dxa"/>
                          <w:left w:w="0" w:type="dxa"/>
                          <w:bottom w:w="135" w:type="dxa"/>
                          <w:right w:w="0" w:type="dxa"/>
                        </w:tcMar>
                        <w:hideMark/>
                      </w:tcPr>
                      <w:tbl>
                        <w:tblPr>
                          <w:tblW w:w="10470" w:type="dxa"/>
                          <w:jc w:val="center"/>
                          <w:tblCellSpacing w:w="0" w:type="dxa"/>
                          <w:shd w:val="clear" w:color="auto" w:fill="FFFFFF"/>
                          <w:tblCellMar>
                            <w:left w:w="0" w:type="dxa"/>
                            <w:right w:w="0" w:type="dxa"/>
                          </w:tblCellMar>
                          <w:tblLook w:val="04A0" w:firstRow="1" w:lastRow="0" w:firstColumn="1" w:lastColumn="0" w:noHBand="0" w:noVBand="1"/>
                        </w:tblPr>
                        <w:tblGrid>
                          <w:gridCol w:w="10470"/>
                        </w:tblGrid>
                        <w:tr w:rsidR="00E430D7">
                          <w:trPr>
                            <w:tblCellSpacing w:w="0" w:type="dxa"/>
                            <w:jc w:val="center"/>
                          </w:trPr>
                          <w:tc>
                            <w:tcPr>
                              <w:tcW w:w="9600" w:type="dxa"/>
                              <w:shd w:val="clear" w:color="auto" w:fill="FFFFFF"/>
                              <w:vAlign w:val="center"/>
                              <w:hideMark/>
                            </w:tcPr>
                            <w:tbl>
                              <w:tblPr>
                                <w:tblW w:w="10470" w:type="dxa"/>
                                <w:jc w:val="center"/>
                                <w:tblCellSpacing w:w="0" w:type="dxa"/>
                                <w:shd w:val="clear" w:color="auto" w:fill="FFFFFF"/>
                                <w:tblCellMar>
                                  <w:left w:w="0" w:type="dxa"/>
                                  <w:right w:w="0" w:type="dxa"/>
                                </w:tblCellMar>
                                <w:tblLook w:val="04A0" w:firstRow="1" w:lastRow="0" w:firstColumn="1" w:lastColumn="0" w:noHBand="0" w:noVBand="1"/>
                              </w:tblPr>
                              <w:tblGrid>
                                <w:gridCol w:w="10033"/>
                                <w:gridCol w:w="437"/>
                              </w:tblGrid>
                              <w:tr w:rsidR="00E430D7">
                                <w:trPr>
                                  <w:tblCellSpacing w:w="0" w:type="dxa"/>
                                  <w:jc w:val="center"/>
                                </w:trPr>
                                <w:tc>
                                  <w:tcPr>
                                    <w:tcW w:w="0" w:type="auto"/>
                                    <w:shd w:val="clear" w:color="auto" w:fill="FFFFFF"/>
                                    <w:tcMar>
                                      <w:top w:w="750" w:type="dxa"/>
                                      <w:left w:w="0" w:type="dxa"/>
                                      <w:bottom w:w="450" w:type="dxa"/>
                                      <w:right w:w="0" w:type="dxa"/>
                                    </w:tcMar>
                                    <w:vAlign w:val="center"/>
                                    <w:hideMark/>
                                  </w:tcPr>
                                  <w:tbl>
                                    <w:tblPr>
                                      <w:tblW w:w="9600" w:type="dxa"/>
                                      <w:jc w:val="center"/>
                                      <w:tblCellSpacing w:w="0" w:type="dxa"/>
                                      <w:shd w:val="clear" w:color="auto" w:fill="FFFFFF"/>
                                      <w:tblCellMar>
                                        <w:left w:w="0" w:type="dxa"/>
                                        <w:right w:w="0" w:type="dxa"/>
                                      </w:tblCellMar>
                                      <w:tblLook w:val="04A0" w:firstRow="1" w:lastRow="0" w:firstColumn="1" w:lastColumn="0" w:noHBand="0" w:noVBand="1"/>
                                    </w:tblPr>
                                    <w:tblGrid>
                                      <w:gridCol w:w="9600"/>
                                    </w:tblGrid>
                                    <w:tr w:rsidR="00E430D7">
                                      <w:trPr>
                                        <w:tblCellSpacing w:w="0" w:type="dxa"/>
                                        <w:jc w:val="center"/>
                                      </w:trPr>
                                      <w:tc>
                                        <w:tcPr>
                                          <w:tcW w:w="0" w:type="auto"/>
                                          <w:shd w:val="clear" w:color="auto" w:fill="FFFFFF"/>
                                          <w:tcMar>
                                            <w:top w:w="0" w:type="dxa"/>
                                            <w:left w:w="0" w:type="dxa"/>
                                            <w:bottom w:w="345"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6105"/>
                                            <w:gridCol w:w="1785"/>
                                          </w:tblGrid>
                                          <w:tr w:rsidR="00E430D7">
                                            <w:trPr>
                                              <w:jc w:val="center"/>
                                            </w:trPr>
                                            <w:tc>
                                              <w:tcPr>
                                                <w:tcW w:w="6105" w:type="dxa"/>
                                                <w:tcBorders>
                                                  <w:top w:val="outset" w:sz="8" w:space="0" w:color="auto"/>
                                                  <w:left w:val="outset" w:sz="8" w:space="0" w:color="auto"/>
                                                  <w:bottom w:val="outset" w:sz="8" w:space="0" w:color="auto"/>
                                                  <w:right w:val="outset" w:sz="8" w:space="0" w:color="auto"/>
                                                </w:tcBorders>
                                                <w:noWrap/>
                                                <w:tcMar>
                                                  <w:top w:w="15" w:type="dxa"/>
                                                  <w:left w:w="15" w:type="dxa"/>
                                                  <w:bottom w:w="15" w:type="dxa"/>
                                                  <w:right w:w="15" w:type="dxa"/>
                                                </w:tcMar>
                                                <w:vAlign w:val="center"/>
                                                <w:hideMark/>
                                              </w:tcPr>
                                              <w:p w:rsidR="00E430D7" w:rsidRDefault="00E430D7">
                                                <w:pPr>
                                                  <w:pStyle w:val="NormalWeb"/>
                                                  <w:spacing w:before="0" w:beforeAutospacing="0" w:after="160" w:afterAutospacing="0"/>
                                                  <w:jc w:val="center"/>
                                                  <w:rPr>
                                                    <w:rFonts w:ascii="Calibri" w:hAnsi="Calibri" w:cs="Calibri"/>
                                                  </w:rPr>
                                                </w:pPr>
                                                <w:r>
                                                  <w:rPr>
                                                    <w:rFonts w:ascii="Verdana" w:hAnsi="Verdana" w:cs="Calibri"/>
                                                    <w:color w:val="000080"/>
                                                    <w:sz w:val="20"/>
                                                    <w:szCs w:val="20"/>
                                                  </w:rPr>
                                                  <w:t>Mal İsmi</w:t>
                                                </w:r>
                                              </w:p>
                                            </w:tc>
                                            <w:tc>
                                              <w:tcPr>
                                                <w:tcW w:w="1785" w:type="dxa"/>
                                                <w:tcBorders>
                                                  <w:top w:val="outset" w:sz="8" w:space="0" w:color="auto"/>
                                                  <w:bottom w:val="outset" w:sz="8" w:space="0" w:color="auto"/>
                                                  <w:right w:val="outset" w:sz="8" w:space="0" w:color="auto"/>
                                                </w:tcBorders>
                                                <w:tcMar>
                                                  <w:top w:w="15" w:type="dxa"/>
                                                  <w:left w:w="15" w:type="dxa"/>
                                                  <w:bottom w:w="15" w:type="dxa"/>
                                                  <w:right w:w="15" w:type="dxa"/>
                                                </w:tcMar>
                                                <w:vAlign w:val="center"/>
                                                <w:hideMark/>
                                              </w:tcPr>
                                              <w:p w:rsidR="00E430D7" w:rsidRDefault="00E430D7">
                                                <w:pPr>
                                                  <w:pStyle w:val="NormalWeb"/>
                                                  <w:spacing w:before="0" w:beforeAutospacing="0" w:after="160" w:afterAutospacing="0"/>
                                                  <w:jc w:val="center"/>
                                                  <w:rPr>
                                                    <w:rFonts w:ascii="Calibri" w:hAnsi="Calibri" w:cs="Calibri"/>
                                                  </w:rPr>
                                                </w:pPr>
                                                <w:r>
                                                  <w:rPr>
                                                    <w:rFonts w:ascii="Verdana" w:hAnsi="Verdana" w:cs="Calibri"/>
                                                    <w:color w:val="000080"/>
                                                    <w:sz w:val="20"/>
                                                    <w:szCs w:val="20"/>
                                                  </w:rPr>
                                                  <w:t>Vergi Oranı (%)</w:t>
                                                </w:r>
                                              </w:p>
                                            </w:tc>
                                          </w:tr>
                                          <w:tr w:rsidR="00E430D7">
                                            <w:trPr>
                                              <w:jc w:val="center"/>
                                            </w:trPr>
                                            <w:tc>
                                              <w:tcPr>
                                                <w:tcW w:w="6105" w:type="dxa"/>
                                                <w:tcBorders>
                                                  <w:left w:val="outset" w:sz="8" w:space="0" w:color="auto"/>
                                                  <w:bottom w:val="outset" w:sz="8" w:space="0" w:color="auto"/>
                                                  <w:right w:val="outset" w:sz="8" w:space="0" w:color="auto"/>
                                                </w:tcBorders>
                                                <w:noWrap/>
                                                <w:tcMar>
                                                  <w:top w:w="15" w:type="dxa"/>
                                                  <w:left w:w="15" w:type="dxa"/>
                                                  <w:bottom w:w="15" w:type="dxa"/>
                                                  <w:right w:w="15" w:type="dxa"/>
                                                </w:tcMar>
                                                <w:hideMark/>
                                              </w:tcPr>
                                              <w:p w:rsidR="00E430D7" w:rsidRDefault="00E430D7">
                                                <w:pPr>
                                                  <w:pStyle w:val="NormalWeb"/>
                                                  <w:spacing w:before="0" w:beforeAutospacing="0" w:after="160" w:afterAutospacing="0"/>
                                                  <w:rPr>
                                                    <w:rFonts w:ascii="Calibri" w:hAnsi="Calibri" w:cs="Calibri"/>
                                                  </w:rPr>
                                                </w:pPr>
                                                <w:r>
                                                  <w:rPr>
                                                    <w:rFonts w:ascii="Verdana" w:hAnsi="Verdana" w:cs="Calibri"/>
                                                    <w:color w:val="000080"/>
                                                    <w:sz w:val="20"/>
                                                    <w:szCs w:val="20"/>
                                                  </w:rPr>
                                                  <w:t>- Diğerleri</w:t>
                                                </w:r>
                                              </w:p>
                                            </w:tc>
                                            <w:tc>
                                              <w:tcPr>
                                                <w:tcW w:w="1785" w:type="dxa"/>
                                                <w:tcBorders>
                                                  <w:bottom w:val="outset" w:sz="8" w:space="0" w:color="auto"/>
                                                  <w:right w:val="outset" w:sz="8" w:space="0" w:color="auto"/>
                                                </w:tcBorders>
                                                <w:noWrap/>
                                                <w:tcMar>
                                                  <w:top w:w="15" w:type="dxa"/>
                                                  <w:left w:w="15" w:type="dxa"/>
                                                  <w:bottom w:w="15" w:type="dxa"/>
                                                  <w:right w:w="15" w:type="dxa"/>
                                                </w:tcMar>
                                                <w:hideMark/>
                                              </w:tcPr>
                                              <w:p w:rsidR="00E430D7" w:rsidRDefault="00E430D7">
                                                <w:pPr>
                                                  <w:rPr>
                                                    <w:rFonts w:ascii="Calibri" w:hAnsi="Calibri" w:cs="Calibri"/>
                                                  </w:rPr>
                                                </w:pPr>
                                              </w:p>
                                            </w:tc>
                                          </w:tr>
                                          <w:tr w:rsidR="00E430D7">
                                            <w:trPr>
                                              <w:jc w:val="center"/>
                                            </w:trPr>
                                            <w:tc>
                                              <w:tcPr>
                                                <w:tcW w:w="6105" w:type="dxa"/>
                                                <w:tcBorders>
                                                  <w:left w:val="outset" w:sz="8" w:space="0" w:color="auto"/>
                                                  <w:bottom w:val="outset" w:sz="8" w:space="0" w:color="auto"/>
                                                  <w:right w:val="outset" w:sz="8" w:space="0" w:color="auto"/>
                                                </w:tcBorders>
                                                <w:noWrap/>
                                                <w:tcMar>
                                                  <w:top w:w="15" w:type="dxa"/>
                                                  <w:left w:w="15" w:type="dxa"/>
                                                  <w:bottom w:w="15" w:type="dxa"/>
                                                  <w:right w:w="15" w:type="dxa"/>
                                                </w:tcMar>
                                                <w:vAlign w:val="bottom"/>
                                                <w:hideMark/>
                                              </w:tcPr>
                                              <w:p w:rsidR="00E430D7" w:rsidRDefault="00E430D7">
                                                <w:pPr>
                                                  <w:pStyle w:val="NormalWeb"/>
                                                  <w:spacing w:before="0" w:beforeAutospacing="0" w:after="160" w:afterAutospacing="0"/>
                                                  <w:rPr>
                                                    <w:rFonts w:ascii="Calibri" w:hAnsi="Calibri" w:cs="Calibri"/>
                                                  </w:rPr>
                                                </w:pPr>
                                                <w:r>
                                                  <w:rPr>
                                                    <w:rFonts w:ascii="Verdana" w:hAnsi="Verdana" w:cs="Calibri"/>
                                                    <w:color w:val="000080"/>
                                                    <w:sz w:val="20"/>
                                                    <w:szCs w:val="20"/>
                                                  </w:rPr>
                                                  <w:t>-- Motor silindir hacmi 1600 cm</w:t>
                                                </w:r>
                                                <w:r>
                                                  <w:rPr>
                                                    <w:rFonts w:ascii="Verdana" w:hAnsi="Verdana" w:cs="Calibri"/>
                                                    <w:color w:val="000080"/>
                                                    <w:sz w:val="20"/>
                                                    <w:szCs w:val="20"/>
                                                    <w:vertAlign w:val="superscript"/>
                                                  </w:rPr>
                                                  <w:t>3</w:t>
                                                </w:r>
                                                <w:r>
                                                  <w:rPr>
                                                    <w:rFonts w:ascii="Verdana" w:hAnsi="Verdana" w:cs="Calibri"/>
                                                    <w:color w:val="000080"/>
                                                    <w:sz w:val="20"/>
                                                    <w:szCs w:val="20"/>
                                                  </w:rPr>
                                                  <w:t>'ü geçmeyenler</w:t>
                                                </w:r>
                                              </w:p>
                                            </w:tc>
                                            <w:tc>
                                              <w:tcPr>
                                                <w:tcW w:w="1785" w:type="dxa"/>
                                                <w:tcBorders>
                                                  <w:bottom w:val="outset" w:sz="8" w:space="0" w:color="auto"/>
                                                  <w:right w:val="outset" w:sz="8" w:space="0" w:color="auto"/>
                                                </w:tcBorders>
                                                <w:noWrap/>
                                                <w:tcMar>
                                                  <w:top w:w="15" w:type="dxa"/>
                                                  <w:left w:w="15" w:type="dxa"/>
                                                  <w:bottom w:w="15" w:type="dxa"/>
                                                  <w:right w:w="15" w:type="dxa"/>
                                                </w:tcMar>
                                                <w:hideMark/>
                                              </w:tcPr>
                                              <w:p w:rsidR="00E430D7" w:rsidRDefault="00E430D7">
                                                <w:pPr>
                                                  <w:rPr>
                                                    <w:rFonts w:ascii="Calibri" w:hAnsi="Calibri" w:cs="Calibri"/>
                                                  </w:rPr>
                                                </w:pPr>
                                              </w:p>
                                            </w:tc>
                                          </w:tr>
                                          <w:tr w:rsidR="00E430D7">
                                            <w:trPr>
                                              <w:jc w:val="center"/>
                                            </w:trPr>
                                            <w:tc>
                                              <w:tcPr>
                                                <w:tcW w:w="6105" w:type="dxa"/>
                                                <w:tcBorders>
                                                  <w:left w:val="outset" w:sz="8" w:space="0" w:color="auto"/>
                                                  <w:bottom w:val="outset" w:sz="8" w:space="0" w:color="auto"/>
                                                  <w:right w:val="outset" w:sz="8" w:space="0" w:color="auto"/>
                                                </w:tcBorders>
                                                <w:noWrap/>
                                                <w:tcMar>
                                                  <w:top w:w="15" w:type="dxa"/>
                                                  <w:left w:w="15" w:type="dxa"/>
                                                  <w:bottom w:w="15" w:type="dxa"/>
                                                  <w:right w:w="15" w:type="dxa"/>
                                                </w:tcMar>
                                                <w:hideMark/>
                                              </w:tcPr>
                                              <w:p w:rsidR="00E430D7" w:rsidRDefault="00E430D7">
                                                <w:pPr>
                                                  <w:pStyle w:val="NormalWeb"/>
                                                  <w:spacing w:before="0" w:beforeAutospacing="0" w:after="160" w:afterAutospacing="0"/>
                                                  <w:rPr>
                                                    <w:rFonts w:ascii="Calibri" w:hAnsi="Calibri" w:cs="Calibri"/>
                                                  </w:rPr>
                                                </w:pPr>
                                                <w:r>
                                                  <w:rPr>
                                                    <w:rFonts w:ascii="Verdana" w:hAnsi="Verdana" w:cs="Calibri"/>
                                                    <w:color w:val="000080"/>
                                                    <w:sz w:val="20"/>
                                                    <w:szCs w:val="20"/>
                                                  </w:rPr>
                                                  <w:t>— Özel tüketim vergisi matrahı 184.000 TL’yi aşmayanlar</w:t>
                                                </w:r>
                                                <w:r>
                                                  <w:rPr>
                                                    <w:rFonts w:ascii="Verdana" w:hAnsi="Verdana" w:cs="Calibri"/>
                                                    <w:color w:val="000080"/>
                                                    <w:sz w:val="20"/>
                                                    <w:szCs w:val="20"/>
                                                    <w:shd w:val="clear" w:color="auto" w:fill="FFFF00"/>
                                                  </w:rPr>
                                                  <w:t>(eski 120.000 TL)</w:t>
                                                </w:r>
                                              </w:p>
                                            </w:tc>
                                            <w:tc>
                                              <w:tcPr>
                                                <w:tcW w:w="1785" w:type="dxa"/>
                                                <w:tcBorders>
                                                  <w:bottom w:val="outset" w:sz="8" w:space="0" w:color="auto"/>
                                                  <w:right w:val="outset" w:sz="8" w:space="0" w:color="auto"/>
                                                </w:tcBorders>
                                                <w:noWrap/>
                                                <w:tcMar>
                                                  <w:top w:w="15" w:type="dxa"/>
                                                  <w:left w:w="15" w:type="dxa"/>
                                                  <w:bottom w:w="15" w:type="dxa"/>
                                                  <w:right w:w="15" w:type="dxa"/>
                                                </w:tcMar>
                                                <w:hideMark/>
                                              </w:tcPr>
                                              <w:p w:rsidR="00E430D7" w:rsidRDefault="00E430D7">
                                                <w:pPr>
                                                  <w:pStyle w:val="NormalWeb"/>
                                                  <w:spacing w:before="0" w:beforeAutospacing="0" w:after="160" w:afterAutospacing="0"/>
                                                  <w:jc w:val="center"/>
                                                  <w:rPr>
                                                    <w:rFonts w:ascii="Calibri" w:hAnsi="Calibri" w:cs="Calibri"/>
                                                  </w:rPr>
                                                </w:pPr>
                                                <w:r>
                                                  <w:rPr>
                                                    <w:rFonts w:ascii="Verdana" w:hAnsi="Verdana" w:cs="Calibri"/>
                                                    <w:color w:val="000080"/>
                                                    <w:sz w:val="20"/>
                                                    <w:szCs w:val="20"/>
                                                  </w:rPr>
                                                  <w:t>45</w:t>
                                                </w:r>
                                              </w:p>
                                            </w:tc>
                                          </w:tr>
                                          <w:tr w:rsidR="00E430D7">
                                            <w:trPr>
                                              <w:jc w:val="center"/>
                                            </w:trPr>
                                            <w:tc>
                                              <w:tcPr>
                                                <w:tcW w:w="6105" w:type="dxa"/>
                                                <w:tcBorders>
                                                  <w:left w:val="outset" w:sz="8" w:space="0" w:color="auto"/>
                                                  <w:bottom w:val="outset" w:sz="8" w:space="0" w:color="auto"/>
                                                  <w:right w:val="outset" w:sz="8" w:space="0" w:color="auto"/>
                                                </w:tcBorders>
                                                <w:noWrap/>
                                                <w:tcMar>
                                                  <w:top w:w="15" w:type="dxa"/>
                                                  <w:left w:w="15" w:type="dxa"/>
                                                  <w:bottom w:w="15" w:type="dxa"/>
                                                  <w:right w:w="15" w:type="dxa"/>
                                                </w:tcMar>
                                                <w:hideMark/>
                                              </w:tcPr>
                                              <w:p w:rsidR="00E430D7" w:rsidRDefault="00E430D7">
                                                <w:pPr>
                                                  <w:pStyle w:val="NormalWeb"/>
                                                  <w:spacing w:before="0" w:beforeAutospacing="0" w:after="160" w:afterAutospacing="0"/>
                                                  <w:rPr>
                                                    <w:rFonts w:ascii="Calibri" w:hAnsi="Calibri" w:cs="Calibri"/>
                                                  </w:rPr>
                                                </w:pPr>
                                                <w:r>
                                                  <w:rPr>
                                                    <w:rFonts w:ascii="Verdana" w:hAnsi="Verdana" w:cs="Calibri"/>
                                                    <w:color w:val="000080"/>
                                                    <w:sz w:val="20"/>
                                                    <w:szCs w:val="20"/>
                                                  </w:rPr>
                                                  <w:t>— Özel tüketim vergisi matrahı 184.000 TL’yi aşıp, 220.000 TL’yi aşmayanlar</w:t>
                                                </w:r>
                                                <w:r>
                                                  <w:rPr>
                                                    <w:rFonts w:ascii="Verdana" w:hAnsi="Verdana" w:cs="Calibri"/>
                                                    <w:color w:val="000080"/>
                                                    <w:sz w:val="20"/>
                                                    <w:szCs w:val="20"/>
                                                    <w:shd w:val="clear" w:color="auto" w:fill="FFFF00"/>
                                                  </w:rPr>
                                                  <w:t>(eski 120.000-150.000)</w:t>
                                                </w:r>
                                              </w:p>
                                            </w:tc>
                                            <w:tc>
                                              <w:tcPr>
                                                <w:tcW w:w="1785" w:type="dxa"/>
                                                <w:tcBorders>
                                                  <w:bottom w:val="outset" w:sz="8" w:space="0" w:color="auto"/>
                                                  <w:right w:val="outset" w:sz="8" w:space="0" w:color="auto"/>
                                                </w:tcBorders>
                                                <w:noWrap/>
                                                <w:tcMar>
                                                  <w:top w:w="15" w:type="dxa"/>
                                                  <w:left w:w="15" w:type="dxa"/>
                                                  <w:bottom w:w="15" w:type="dxa"/>
                                                  <w:right w:w="15" w:type="dxa"/>
                                                </w:tcMar>
                                                <w:hideMark/>
                                              </w:tcPr>
                                              <w:p w:rsidR="00E430D7" w:rsidRDefault="00E430D7">
                                                <w:pPr>
                                                  <w:pStyle w:val="NormalWeb"/>
                                                  <w:spacing w:before="0" w:beforeAutospacing="0" w:after="160" w:afterAutospacing="0"/>
                                                  <w:jc w:val="center"/>
                                                  <w:rPr>
                                                    <w:rFonts w:ascii="Calibri" w:hAnsi="Calibri" w:cs="Calibri"/>
                                                  </w:rPr>
                                                </w:pPr>
                                                <w:r>
                                                  <w:rPr>
                                                    <w:rFonts w:ascii="Verdana" w:hAnsi="Verdana" w:cs="Calibri"/>
                                                    <w:color w:val="000080"/>
                                                    <w:sz w:val="20"/>
                                                    <w:szCs w:val="20"/>
                                                  </w:rPr>
                                                  <w:t>50</w:t>
                                                </w:r>
                                              </w:p>
                                            </w:tc>
                                          </w:tr>
                                          <w:tr w:rsidR="00E430D7">
                                            <w:trPr>
                                              <w:jc w:val="center"/>
                                            </w:trPr>
                                            <w:tc>
                                              <w:tcPr>
                                                <w:tcW w:w="6105" w:type="dxa"/>
                                                <w:tcBorders>
                                                  <w:left w:val="outset" w:sz="8" w:space="0" w:color="auto"/>
                                                  <w:bottom w:val="outset" w:sz="8" w:space="0" w:color="auto"/>
                                                  <w:right w:val="outset" w:sz="8" w:space="0" w:color="auto"/>
                                                </w:tcBorders>
                                                <w:noWrap/>
                                                <w:tcMar>
                                                  <w:top w:w="15" w:type="dxa"/>
                                                  <w:left w:w="15" w:type="dxa"/>
                                                  <w:bottom w:w="15" w:type="dxa"/>
                                                  <w:right w:w="15" w:type="dxa"/>
                                                </w:tcMar>
                                                <w:hideMark/>
                                              </w:tcPr>
                                              <w:p w:rsidR="00E430D7" w:rsidRDefault="00E430D7">
                                                <w:pPr>
                                                  <w:pStyle w:val="NormalWeb"/>
                                                  <w:spacing w:before="0" w:beforeAutospacing="0" w:after="160" w:afterAutospacing="0"/>
                                                  <w:rPr>
                                                    <w:rFonts w:ascii="Calibri" w:hAnsi="Calibri" w:cs="Calibri"/>
                                                  </w:rPr>
                                                </w:pPr>
                                                <w:r>
                                                  <w:rPr>
                                                    <w:rFonts w:ascii="Verdana" w:hAnsi="Verdana" w:cs="Calibri"/>
                                                    <w:color w:val="000080"/>
                                                    <w:sz w:val="20"/>
                                                    <w:szCs w:val="20"/>
                                                  </w:rPr>
                                                  <w:t>— Özel tüketim vergisi matrahı 220.000 TL’yi aşıp, 250.000 TL’yi aşmayanlar</w:t>
                                                </w:r>
                                                <w:r>
                                                  <w:rPr>
                                                    <w:rFonts w:ascii="Verdana" w:hAnsi="Verdana" w:cs="Calibri"/>
                                                    <w:color w:val="000080"/>
                                                    <w:sz w:val="20"/>
                                                    <w:szCs w:val="20"/>
                                                    <w:shd w:val="clear" w:color="auto" w:fill="FFFF00"/>
                                                  </w:rPr>
                                                  <w:t>(eski 150.000-175.000)</w:t>
                                                </w:r>
                                              </w:p>
                                            </w:tc>
                                            <w:tc>
                                              <w:tcPr>
                                                <w:tcW w:w="1785" w:type="dxa"/>
                                                <w:tcBorders>
                                                  <w:bottom w:val="outset" w:sz="8" w:space="0" w:color="auto"/>
                                                  <w:right w:val="outset" w:sz="8" w:space="0" w:color="auto"/>
                                                </w:tcBorders>
                                                <w:noWrap/>
                                                <w:tcMar>
                                                  <w:top w:w="15" w:type="dxa"/>
                                                  <w:left w:w="15" w:type="dxa"/>
                                                  <w:bottom w:w="15" w:type="dxa"/>
                                                  <w:right w:w="15" w:type="dxa"/>
                                                </w:tcMar>
                                                <w:vAlign w:val="bottom"/>
                                                <w:hideMark/>
                                              </w:tcPr>
                                              <w:p w:rsidR="00E430D7" w:rsidRDefault="00E430D7">
                                                <w:pPr>
                                                  <w:pStyle w:val="NormalWeb"/>
                                                  <w:spacing w:before="0" w:beforeAutospacing="0" w:after="160" w:afterAutospacing="0"/>
                                                  <w:jc w:val="center"/>
                                                  <w:rPr>
                                                    <w:rFonts w:ascii="Calibri" w:hAnsi="Calibri" w:cs="Calibri"/>
                                                  </w:rPr>
                                                </w:pPr>
                                                <w:r>
                                                  <w:rPr>
                                                    <w:rFonts w:ascii="Verdana" w:hAnsi="Verdana" w:cs="Calibri"/>
                                                    <w:color w:val="000080"/>
                                                    <w:sz w:val="20"/>
                                                    <w:szCs w:val="20"/>
                                                  </w:rPr>
                                                  <w:t>60</w:t>
                                                </w:r>
                                              </w:p>
                                            </w:tc>
                                          </w:tr>
                                          <w:tr w:rsidR="00E430D7">
                                            <w:trPr>
                                              <w:jc w:val="center"/>
                                            </w:trPr>
                                            <w:tc>
                                              <w:tcPr>
                                                <w:tcW w:w="6105" w:type="dxa"/>
                                                <w:tcBorders>
                                                  <w:left w:val="outset" w:sz="8" w:space="0" w:color="auto"/>
                                                  <w:bottom w:val="outset" w:sz="8" w:space="0" w:color="auto"/>
                                                  <w:right w:val="outset" w:sz="8" w:space="0" w:color="auto"/>
                                                </w:tcBorders>
                                                <w:noWrap/>
                                                <w:tcMar>
                                                  <w:top w:w="15" w:type="dxa"/>
                                                  <w:left w:w="15" w:type="dxa"/>
                                                  <w:bottom w:w="15" w:type="dxa"/>
                                                  <w:right w:w="15" w:type="dxa"/>
                                                </w:tcMar>
                                                <w:hideMark/>
                                              </w:tcPr>
                                              <w:p w:rsidR="00E430D7" w:rsidRDefault="00E430D7">
                                                <w:pPr>
                                                  <w:pStyle w:val="NormalWeb"/>
                                                  <w:spacing w:before="0" w:beforeAutospacing="0" w:after="160" w:afterAutospacing="0"/>
                                                  <w:rPr>
                                                    <w:rFonts w:ascii="Calibri" w:hAnsi="Calibri" w:cs="Calibri"/>
                                                  </w:rPr>
                                                </w:pPr>
                                                <w:r>
                                                  <w:rPr>
                                                    <w:rFonts w:ascii="Verdana" w:hAnsi="Verdana" w:cs="Calibri"/>
                                                    <w:color w:val="000080"/>
                                                    <w:sz w:val="20"/>
                                                    <w:szCs w:val="20"/>
                                                  </w:rPr>
                                                  <w:t>— Özel tüketim vergisi matrahı 250.000 TL’yi aşıp, 280.000 TL’yi aşmayanlar</w:t>
                                                </w:r>
                                                <w:r>
                                                  <w:rPr>
                                                    <w:rFonts w:ascii="Verdana" w:hAnsi="Verdana" w:cs="Calibri"/>
                                                    <w:color w:val="000080"/>
                                                    <w:sz w:val="20"/>
                                                    <w:szCs w:val="20"/>
                                                    <w:shd w:val="clear" w:color="auto" w:fill="FFFF00"/>
                                                  </w:rPr>
                                                  <w:t>(175.000-200.000)</w:t>
                                                </w:r>
                                              </w:p>
                                            </w:tc>
                                            <w:tc>
                                              <w:tcPr>
                                                <w:tcW w:w="1785" w:type="dxa"/>
                                                <w:tcBorders>
                                                  <w:bottom w:val="outset" w:sz="8" w:space="0" w:color="auto"/>
                                                  <w:right w:val="outset" w:sz="8" w:space="0" w:color="auto"/>
                                                </w:tcBorders>
                                                <w:noWrap/>
                                                <w:tcMar>
                                                  <w:top w:w="15" w:type="dxa"/>
                                                  <w:left w:w="15" w:type="dxa"/>
                                                  <w:bottom w:w="15" w:type="dxa"/>
                                                  <w:right w:w="15" w:type="dxa"/>
                                                </w:tcMar>
                                                <w:hideMark/>
                                              </w:tcPr>
                                              <w:p w:rsidR="00E430D7" w:rsidRDefault="00E430D7">
                                                <w:pPr>
                                                  <w:pStyle w:val="NormalWeb"/>
                                                  <w:spacing w:before="0" w:beforeAutospacing="0" w:after="160" w:afterAutospacing="0"/>
                                                  <w:jc w:val="center"/>
                                                  <w:rPr>
                                                    <w:rFonts w:ascii="Calibri" w:hAnsi="Calibri" w:cs="Calibri"/>
                                                  </w:rPr>
                                                </w:pPr>
                                                <w:r>
                                                  <w:rPr>
                                                    <w:rFonts w:ascii="Verdana" w:hAnsi="Verdana" w:cs="Calibri"/>
                                                    <w:color w:val="000080"/>
                                                    <w:sz w:val="20"/>
                                                    <w:szCs w:val="20"/>
                                                  </w:rPr>
                                                  <w:t>70</w:t>
                                                </w:r>
                                              </w:p>
                                            </w:tc>
                                          </w:tr>
                                          <w:tr w:rsidR="00E430D7">
                                            <w:trPr>
                                              <w:jc w:val="center"/>
                                            </w:trPr>
                                            <w:tc>
                                              <w:tcPr>
                                                <w:tcW w:w="6105" w:type="dxa"/>
                                                <w:tcBorders>
                                                  <w:left w:val="outset" w:sz="8" w:space="0" w:color="auto"/>
                                                  <w:bottom w:val="outset" w:sz="8" w:space="0" w:color="auto"/>
                                                  <w:right w:val="outset" w:sz="8" w:space="0" w:color="auto"/>
                                                </w:tcBorders>
                                                <w:noWrap/>
                                                <w:tcMar>
                                                  <w:top w:w="15" w:type="dxa"/>
                                                  <w:left w:w="15" w:type="dxa"/>
                                                  <w:bottom w:w="15" w:type="dxa"/>
                                                  <w:right w:w="15" w:type="dxa"/>
                                                </w:tcMar>
                                                <w:vAlign w:val="center"/>
                                                <w:hideMark/>
                                              </w:tcPr>
                                              <w:p w:rsidR="00E430D7" w:rsidRDefault="00E430D7">
                                                <w:pPr>
                                                  <w:pStyle w:val="NormalWeb"/>
                                                  <w:spacing w:before="0" w:beforeAutospacing="0" w:after="160" w:afterAutospacing="0"/>
                                                  <w:rPr>
                                                    <w:rFonts w:ascii="Calibri" w:hAnsi="Calibri" w:cs="Calibri"/>
                                                  </w:rPr>
                                                </w:pPr>
                                                <w:r>
                                                  <w:rPr>
                                                    <w:rFonts w:ascii="Verdana" w:hAnsi="Verdana" w:cs="Calibri"/>
                                                    <w:color w:val="000080"/>
                                                    <w:sz w:val="20"/>
                                                    <w:szCs w:val="20"/>
                                                  </w:rPr>
                                                  <w:t>— Diğerleri</w:t>
                                                </w:r>
                                              </w:p>
                                            </w:tc>
                                            <w:tc>
                                              <w:tcPr>
                                                <w:tcW w:w="1785" w:type="dxa"/>
                                                <w:tcBorders>
                                                  <w:bottom w:val="outset" w:sz="8" w:space="0" w:color="auto"/>
                                                  <w:right w:val="outset" w:sz="8" w:space="0" w:color="auto"/>
                                                </w:tcBorders>
                                                <w:noWrap/>
                                                <w:tcMar>
                                                  <w:top w:w="15" w:type="dxa"/>
                                                  <w:left w:w="15" w:type="dxa"/>
                                                  <w:bottom w:w="15" w:type="dxa"/>
                                                  <w:right w:w="15" w:type="dxa"/>
                                                </w:tcMar>
                                                <w:vAlign w:val="bottom"/>
                                                <w:hideMark/>
                                              </w:tcPr>
                                              <w:p w:rsidR="00E430D7" w:rsidRDefault="00E430D7">
                                                <w:pPr>
                                                  <w:pStyle w:val="NormalWeb"/>
                                                  <w:spacing w:before="0" w:beforeAutospacing="0" w:after="160" w:afterAutospacing="0"/>
                                                  <w:jc w:val="center"/>
                                                  <w:rPr>
                                                    <w:rFonts w:ascii="Calibri" w:hAnsi="Calibri" w:cs="Calibri"/>
                                                  </w:rPr>
                                                </w:pPr>
                                                <w:r>
                                                  <w:rPr>
                                                    <w:rFonts w:ascii="Verdana" w:hAnsi="Verdana" w:cs="Calibri"/>
                                                    <w:color w:val="000080"/>
                                                    <w:sz w:val="20"/>
                                                    <w:szCs w:val="20"/>
                                                  </w:rPr>
                                                  <w:t>80</w:t>
                                                </w:r>
                                              </w:p>
                                            </w:tc>
                                          </w:tr>
                                          <w:tr w:rsidR="00E430D7">
                                            <w:trPr>
                                              <w:jc w:val="center"/>
                                            </w:trPr>
                                            <w:tc>
                                              <w:tcPr>
                                                <w:tcW w:w="6105" w:type="dxa"/>
                                                <w:tcBorders>
                                                  <w:left w:val="outset" w:sz="8" w:space="0" w:color="auto"/>
                                                  <w:bottom w:val="outset" w:sz="8" w:space="0" w:color="auto"/>
                                                  <w:right w:val="outset" w:sz="8" w:space="0" w:color="auto"/>
                                                </w:tcBorders>
                                                <w:noWrap/>
                                                <w:tcMar>
                                                  <w:top w:w="15" w:type="dxa"/>
                                                  <w:left w:w="15" w:type="dxa"/>
                                                  <w:bottom w:w="15" w:type="dxa"/>
                                                  <w:right w:w="15" w:type="dxa"/>
                                                </w:tcMar>
                                                <w:vAlign w:val="bottom"/>
                                                <w:hideMark/>
                                              </w:tcPr>
                                              <w:p w:rsidR="00E430D7" w:rsidRDefault="00E430D7">
                                                <w:pPr>
                                                  <w:pStyle w:val="NormalWeb"/>
                                                  <w:spacing w:before="0" w:beforeAutospacing="0" w:after="160" w:afterAutospacing="0"/>
                                                  <w:rPr>
                                                    <w:rFonts w:ascii="Calibri" w:hAnsi="Calibri" w:cs="Calibri"/>
                                                  </w:rPr>
                                                </w:pPr>
                                                <w:r>
                                                  <w:rPr>
                                                    <w:rFonts w:ascii="Verdana" w:hAnsi="Verdana" w:cs="Calibri"/>
                                                    <w:color w:val="000080"/>
                                                    <w:sz w:val="20"/>
                                                    <w:szCs w:val="20"/>
                                                  </w:rPr>
                                                  <w:t>— Motor silindir hacmi 1600 cm</w:t>
                                                </w:r>
                                                <w:r>
                                                  <w:rPr>
                                                    <w:rFonts w:ascii="Verdana" w:hAnsi="Verdana" w:cs="Calibri"/>
                                                    <w:color w:val="000080"/>
                                                    <w:sz w:val="20"/>
                                                    <w:szCs w:val="20"/>
                                                    <w:vertAlign w:val="superscript"/>
                                                  </w:rPr>
                                                  <w:t>3</w:t>
                                                </w:r>
                                                <w:r>
                                                  <w:rPr>
                                                    <w:rFonts w:ascii="Verdana" w:hAnsi="Verdana" w:cs="Calibri"/>
                                                    <w:color w:val="000080"/>
                                                    <w:sz w:val="20"/>
                                                    <w:szCs w:val="20"/>
                                                  </w:rPr>
                                                  <w:t>'ü geçen fakat 2000 cm</w:t>
                                                </w:r>
                                                <w:r>
                                                  <w:rPr>
                                                    <w:rFonts w:ascii="Verdana" w:hAnsi="Verdana" w:cs="Calibri"/>
                                                    <w:color w:val="000080"/>
                                                    <w:sz w:val="20"/>
                                                    <w:szCs w:val="20"/>
                                                    <w:vertAlign w:val="superscript"/>
                                                  </w:rPr>
                                                  <w:t>3</w:t>
                                                </w:r>
                                                <w:r>
                                                  <w:rPr>
                                                    <w:rFonts w:ascii="Verdana" w:hAnsi="Verdana" w:cs="Calibri"/>
                                                    <w:color w:val="000080"/>
                                                    <w:sz w:val="20"/>
                                                    <w:szCs w:val="20"/>
                                                  </w:rPr>
                                                  <w:t>'ü geçmeyenler</w:t>
                                                </w:r>
                                              </w:p>
                                            </w:tc>
                                            <w:tc>
                                              <w:tcPr>
                                                <w:tcW w:w="1785" w:type="dxa"/>
                                                <w:tcBorders>
                                                  <w:bottom w:val="outset" w:sz="8" w:space="0" w:color="auto"/>
                                                  <w:right w:val="outset" w:sz="8" w:space="0" w:color="auto"/>
                                                </w:tcBorders>
                                                <w:noWrap/>
                                                <w:tcMar>
                                                  <w:top w:w="15" w:type="dxa"/>
                                                  <w:left w:w="15" w:type="dxa"/>
                                                  <w:bottom w:w="15" w:type="dxa"/>
                                                  <w:right w:w="15" w:type="dxa"/>
                                                </w:tcMar>
                                                <w:hideMark/>
                                              </w:tcPr>
                                              <w:p w:rsidR="00E430D7" w:rsidRDefault="00E430D7">
                                                <w:pPr>
                                                  <w:rPr>
                                                    <w:rFonts w:ascii="Calibri" w:hAnsi="Calibri" w:cs="Calibri"/>
                                                  </w:rPr>
                                                </w:pPr>
                                              </w:p>
                                            </w:tc>
                                          </w:tr>
                                          <w:tr w:rsidR="00E430D7">
                                            <w:trPr>
                                              <w:jc w:val="center"/>
                                            </w:trPr>
                                            <w:tc>
                                              <w:tcPr>
                                                <w:tcW w:w="6105" w:type="dxa"/>
                                                <w:tcBorders>
                                                  <w:left w:val="outset" w:sz="8" w:space="0" w:color="auto"/>
                                                  <w:bottom w:val="outset" w:sz="8" w:space="0" w:color="auto"/>
                                                  <w:right w:val="outset" w:sz="8" w:space="0" w:color="auto"/>
                                                </w:tcBorders>
                                                <w:noWrap/>
                                                <w:tcMar>
                                                  <w:top w:w="15" w:type="dxa"/>
                                                  <w:left w:w="15" w:type="dxa"/>
                                                  <w:bottom w:w="15" w:type="dxa"/>
                                                  <w:right w:w="15" w:type="dxa"/>
                                                </w:tcMar>
                                                <w:vAlign w:val="bottom"/>
                                                <w:hideMark/>
                                              </w:tcPr>
                                              <w:p w:rsidR="00E430D7" w:rsidRDefault="00E430D7">
                                                <w:pPr>
                                                  <w:pStyle w:val="NormalWeb"/>
                                                  <w:spacing w:before="0" w:beforeAutospacing="0" w:after="160" w:afterAutospacing="0"/>
                                                  <w:rPr>
                                                    <w:rFonts w:ascii="Calibri" w:hAnsi="Calibri" w:cs="Calibri"/>
                                                  </w:rPr>
                                                </w:pPr>
                                                <w:r>
                                                  <w:rPr>
                                                    <w:rFonts w:ascii="Verdana" w:hAnsi="Verdana" w:cs="Calibri"/>
                                                    <w:color w:val="000080"/>
                                                    <w:sz w:val="20"/>
                                                    <w:szCs w:val="20"/>
                                                  </w:rPr>
                                                  <w:t>— Elektrik motoru da olanlardan elektrik motor gücü 50 kW'ı geçip motor silindir</w:t>
                                                </w:r>
                                              </w:p>
                                            </w:tc>
                                            <w:tc>
                                              <w:tcPr>
                                                <w:tcW w:w="1785" w:type="dxa"/>
                                                <w:tcBorders>
                                                  <w:bottom w:val="outset" w:sz="8" w:space="0" w:color="auto"/>
                                                  <w:right w:val="outset" w:sz="8" w:space="0" w:color="auto"/>
                                                </w:tcBorders>
                                                <w:noWrap/>
                                                <w:tcMar>
                                                  <w:top w:w="15" w:type="dxa"/>
                                                  <w:left w:w="15" w:type="dxa"/>
                                                  <w:bottom w:w="15" w:type="dxa"/>
                                                  <w:right w:w="15" w:type="dxa"/>
                                                </w:tcMar>
                                                <w:hideMark/>
                                              </w:tcPr>
                                              <w:p w:rsidR="00E430D7" w:rsidRDefault="00E430D7">
                                                <w:pPr>
                                                  <w:rPr>
                                                    <w:rFonts w:ascii="Calibri" w:hAnsi="Calibri" w:cs="Calibri"/>
                                                  </w:rPr>
                                                </w:pPr>
                                              </w:p>
                                            </w:tc>
                                          </w:tr>
                                          <w:tr w:rsidR="00E430D7">
                                            <w:trPr>
                                              <w:jc w:val="center"/>
                                            </w:trPr>
                                            <w:tc>
                                              <w:tcPr>
                                                <w:tcW w:w="6105" w:type="dxa"/>
                                                <w:tcBorders>
                                                  <w:left w:val="outset" w:sz="8" w:space="0" w:color="auto"/>
                                                  <w:bottom w:val="outset" w:sz="8" w:space="0" w:color="auto"/>
                                                  <w:right w:val="outset" w:sz="8" w:space="0" w:color="auto"/>
                                                </w:tcBorders>
                                                <w:noWrap/>
                                                <w:tcMar>
                                                  <w:top w:w="15" w:type="dxa"/>
                                                  <w:left w:w="15" w:type="dxa"/>
                                                  <w:bottom w:w="15" w:type="dxa"/>
                                                  <w:right w:w="15" w:type="dxa"/>
                                                </w:tcMar>
                                                <w:hideMark/>
                                              </w:tcPr>
                                              <w:p w:rsidR="00E430D7" w:rsidRDefault="00E430D7">
                                                <w:pPr>
                                                  <w:pStyle w:val="NormalWeb"/>
                                                  <w:spacing w:before="0" w:beforeAutospacing="0" w:after="160" w:afterAutospacing="0"/>
                                                  <w:rPr>
                                                    <w:rFonts w:ascii="Calibri" w:hAnsi="Calibri" w:cs="Calibri"/>
                                                  </w:rPr>
                                                </w:pPr>
                                                <w:proofErr w:type="gramStart"/>
                                                <w:r>
                                                  <w:rPr>
                                                    <w:rFonts w:ascii="Verdana" w:hAnsi="Verdana" w:cs="Calibri"/>
                                                    <w:color w:val="000080"/>
                                                    <w:sz w:val="20"/>
                                                    <w:szCs w:val="20"/>
                                                  </w:rPr>
                                                  <w:t>hacmi</w:t>
                                                </w:r>
                                                <w:proofErr w:type="gramEnd"/>
                                                <w:r>
                                                  <w:rPr>
                                                    <w:rFonts w:ascii="Verdana" w:hAnsi="Verdana" w:cs="Calibri"/>
                                                    <w:color w:val="000080"/>
                                                    <w:sz w:val="20"/>
                                                    <w:szCs w:val="20"/>
                                                  </w:rPr>
                                                  <w:t xml:space="preserve"> 1800 cm</w:t>
                                                </w:r>
                                                <w:r>
                                                  <w:rPr>
                                                    <w:rFonts w:ascii="Verdana" w:hAnsi="Verdana" w:cs="Calibri"/>
                                                    <w:color w:val="000080"/>
                                                    <w:sz w:val="20"/>
                                                    <w:szCs w:val="20"/>
                                                    <w:vertAlign w:val="superscript"/>
                                                  </w:rPr>
                                                  <w:t>3</w:t>
                                                </w:r>
                                                <w:r>
                                                  <w:rPr>
                                                    <w:rFonts w:ascii="Verdana" w:hAnsi="Verdana" w:cs="Calibri"/>
                                                    <w:color w:val="000080"/>
                                                    <w:sz w:val="20"/>
                                                    <w:szCs w:val="20"/>
                                                  </w:rPr>
                                                  <w:t>'ü geçmeyenler</w:t>
                                                </w:r>
                                              </w:p>
                                            </w:tc>
                                            <w:tc>
                                              <w:tcPr>
                                                <w:tcW w:w="1785" w:type="dxa"/>
                                                <w:tcBorders>
                                                  <w:bottom w:val="outset" w:sz="8" w:space="0" w:color="auto"/>
                                                  <w:right w:val="outset" w:sz="8" w:space="0" w:color="auto"/>
                                                </w:tcBorders>
                                                <w:noWrap/>
                                                <w:tcMar>
                                                  <w:top w:w="15" w:type="dxa"/>
                                                  <w:left w:w="15" w:type="dxa"/>
                                                  <w:bottom w:w="15" w:type="dxa"/>
                                                  <w:right w:w="15" w:type="dxa"/>
                                                </w:tcMar>
                                                <w:hideMark/>
                                              </w:tcPr>
                                              <w:p w:rsidR="00E430D7" w:rsidRDefault="00E430D7">
                                                <w:pPr>
                                                  <w:rPr>
                                                    <w:rFonts w:ascii="Calibri" w:hAnsi="Calibri" w:cs="Calibri"/>
                                                  </w:rPr>
                                                </w:pPr>
                                              </w:p>
                                            </w:tc>
                                          </w:tr>
                                          <w:tr w:rsidR="00E430D7">
                                            <w:trPr>
                                              <w:jc w:val="center"/>
                                            </w:trPr>
                                            <w:tc>
                                              <w:tcPr>
                                                <w:tcW w:w="6105" w:type="dxa"/>
                                                <w:tcBorders>
                                                  <w:left w:val="outset" w:sz="8" w:space="0" w:color="auto"/>
                                                  <w:bottom w:val="outset" w:sz="8" w:space="0" w:color="auto"/>
                                                  <w:right w:val="outset" w:sz="8" w:space="0" w:color="auto"/>
                                                </w:tcBorders>
                                                <w:noWrap/>
                                                <w:tcMar>
                                                  <w:top w:w="15" w:type="dxa"/>
                                                  <w:left w:w="15" w:type="dxa"/>
                                                  <w:bottom w:w="15" w:type="dxa"/>
                                                  <w:right w:w="15" w:type="dxa"/>
                                                </w:tcMar>
                                                <w:hideMark/>
                                              </w:tcPr>
                                              <w:p w:rsidR="00E430D7" w:rsidRDefault="00E430D7">
                                                <w:pPr>
                                                  <w:pStyle w:val="NormalWeb"/>
                                                  <w:spacing w:before="0" w:beforeAutospacing="0" w:after="160" w:afterAutospacing="0"/>
                                                  <w:rPr>
                                                    <w:rFonts w:ascii="Calibri" w:hAnsi="Calibri" w:cs="Calibri"/>
                                                  </w:rPr>
                                                </w:pPr>
                                                <w:r>
                                                  <w:rPr>
                                                    <w:rFonts w:ascii="Verdana" w:hAnsi="Verdana" w:cs="Calibri"/>
                                                    <w:color w:val="000080"/>
                                                    <w:sz w:val="20"/>
                                                    <w:szCs w:val="20"/>
                                                  </w:rPr>
                                                  <w:t>— Özel tüketim vergisi matrahı 228.000 TL’yi aşmayanlar</w:t>
                                                </w:r>
                                                <w:r>
                                                  <w:rPr>
                                                    <w:rFonts w:ascii="Verdana" w:hAnsi="Verdana" w:cs="Calibri"/>
                                                    <w:color w:val="000080"/>
                                                    <w:sz w:val="20"/>
                                                    <w:szCs w:val="20"/>
                                                    <w:shd w:val="clear" w:color="auto" w:fill="FFFF00"/>
                                                  </w:rPr>
                                                  <w:t>(eski 130.000)</w:t>
                                                </w:r>
                                              </w:p>
                                            </w:tc>
                                            <w:tc>
                                              <w:tcPr>
                                                <w:tcW w:w="1785" w:type="dxa"/>
                                                <w:tcBorders>
                                                  <w:bottom w:val="outset" w:sz="8" w:space="0" w:color="auto"/>
                                                  <w:right w:val="outset" w:sz="8" w:space="0" w:color="auto"/>
                                                </w:tcBorders>
                                                <w:noWrap/>
                                                <w:tcMar>
                                                  <w:top w:w="15" w:type="dxa"/>
                                                  <w:left w:w="15" w:type="dxa"/>
                                                  <w:bottom w:w="15" w:type="dxa"/>
                                                  <w:right w:w="15" w:type="dxa"/>
                                                </w:tcMar>
                                                <w:hideMark/>
                                              </w:tcPr>
                                              <w:p w:rsidR="00E430D7" w:rsidRDefault="00E430D7">
                                                <w:pPr>
                                                  <w:pStyle w:val="NormalWeb"/>
                                                  <w:spacing w:before="0" w:beforeAutospacing="0" w:after="160" w:afterAutospacing="0"/>
                                                  <w:jc w:val="center"/>
                                                  <w:rPr>
                                                    <w:rFonts w:ascii="Calibri" w:hAnsi="Calibri" w:cs="Calibri"/>
                                                  </w:rPr>
                                                </w:pPr>
                                                <w:r>
                                                  <w:rPr>
                                                    <w:rFonts w:ascii="Verdana" w:hAnsi="Verdana" w:cs="Calibri"/>
                                                    <w:color w:val="000080"/>
                                                    <w:sz w:val="20"/>
                                                    <w:szCs w:val="20"/>
                                                  </w:rPr>
                                                  <w:t>45</w:t>
                                                </w:r>
                                              </w:p>
                                            </w:tc>
                                          </w:tr>
                                          <w:tr w:rsidR="00E430D7">
                                            <w:trPr>
                                              <w:jc w:val="center"/>
                                            </w:trPr>
                                            <w:tc>
                                              <w:tcPr>
                                                <w:tcW w:w="6105" w:type="dxa"/>
                                                <w:tcBorders>
                                                  <w:left w:val="outset" w:sz="8" w:space="0" w:color="auto"/>
                                                  <w:bottom w:val="outset" w:sz="8" w:space="0" w:color="auto"/>
                                                  <w:right w:val="outset" w:sz="8" w:space="0" w:color="auto"/>
                                                </w:tcBorders>
                                                <w:noWrap/>
                                                <w:tcMar>
                                                  <w:top w:w="15" w:type="dxa"/>
                                                  <w:left w:w="15" w:type="dxa"/>
                                                  <w:bottom w:w="15" w:type="dxa"/>
                                                  <w:right w:w="15" w:type="dxa"/>
                                                </w:tcMar>
                                                <w:hideMark/>
                                              </w:tcPr>
                                              <w:p w:rsidR="00E430D7" w:rsidRDefault="00E430D7">
                                                <w:pPr>
                                                  <w:pStyle w:val="NormalWeb"/>
                                                  <w:spacing w:before="0" w:beforeAutospacing="0" w:after="160" w:afterAutospacing="0"/>
                                                  <w:rPr>
                                                    <w:rFonts w:ascii="Calibri" w:hAnsi="Calibri" w:cs="Calibri"/>
                                                  </w:rPr>
                                                </w:pPr>
                                                <w:r>
                                                  <w:rPr>
                                                    <w:rFonts w:ascii="Verdana" w:hAnsi="Verdana" w:cs="Calibri"/>
                                                    <w:color w:val="000080"/>
                                                    <w:sz w:val="20"/>
                                                    <w:szCs w:val="20"/>
                                                  </w:rPr>
                                                  <w:t>— Özel tüketim vergisi matrahı 228.000 TL’yi aşıp, 350.000 TL’yi aşmayanlar(</w:t>
                                                </w:r>
                                                <w:r>
                                                  <w:rPr>
                                                    <w:rFonts w:ascii="Verdana" w:hAnsi="Verdana" w:cs="Calibri"/>
                                                    <w:color w:val="000080"/>
                                                    <w:sz w:val="20"/>
                                                    <w:szCs w:val="20"/>
                                                    <w:shd w:val="clear" w:color="auto" w:fill="FFFF00"/>
                                                  </w:rPr>
                                                  <w:t>eski 130.000-210.000)</w:t>
                                                </w:r>
                                              </w:p>
                                            </w:tc>
                                            <w:tc>
                                              <w:tcPr>
                                                <w:tcW w:w="1785" w:type="dxa"/>
                                                <w:tcBorders>
                                                  <w:bottom w:val="outset" w:sz="8" w:space="0" w:color="auto"/>
                                                  <w:right w:val="outset" w:sz="8" w:space="0" w:color="auto"/>
                                                </w:tcBorders>
                                                <w:noWrap/>
                                                <w:tcMar>
                                                  <w:top w:w="15" w:type="dxa"/>
                                                  <w:left w:w="15" w:type="dxa"/>
                                                  <w:bottom w:w="15" w:type="dxa"/>
                                                  <w:right w:w="15" w:type="dxa"/>
                                                </w:tcMar>
                                                <w:hideMark/>
                                              </w:tcPr>
                                              <w:p w:rsidR="00E430D7" w:rsidRDefault="00E430D7">
                                                <w:pPr>
                                                  <w:pStyle w:val="NormalWeb"/>
                                                  <w:spacing w:before="0" w:beforeAutospacing="0" w:after="160" w:afterAutospacing="0"/>
                                                  <w:jc w:val="center"/>
                                                  <w:rPr>
                                                    <w:rFonts w:ascii="Calibri" w:hAnsi="Calibri" w:cs="Calibri"/>
                                                  </w:rPr>
                                                </w:pPr>
                                                <w:r>
                                                  <w:rPr>
                                                    <w:rFonts w:ascii="Verdana" w:hAnsi="Verdana" w:cs="Calibri"/>
                                                    <w:color w:val="000080"/>
                                                    <w:sz w:val="20"/>
                                                    <w:szCs w:val="20"/>
                                                  </w:rPr>
                                                  <w:t>50</w:t>
                                                </w:r>
                                              </w:p>
                                            </w:tc>
                                          </w:tr>
                                          <w:tr w:rsidR="00E430D7">
                                            <w:trPr>
                                              <w:jc w:val="center"/>
                                            </w:trPr>
                                            <w:tc>
                                              <w:tcPr>
                                                <w:tcW w:w="6105" w:type="dxa"/>
                                                <w:tcBorders>
                                                  <w:left w:val="outset" w:sz="8" w:space="0" w:color="auto"/>
                                                  <w:bottom w:val="outset" w:sz="8" w:space="0" w:color="auto"/>
                                                  <w:right w:val="outset" w:sz="8" w:space="0" w:color="auto"/>
                                                </w:tcBorders>
                                                <w:noWrap/>
                                                <w:tcMar>
                                                  <w:top w:w="15" w:type="dxa"/>
                                                  <w:left w:w="15" w:type="dxa"/>
                                                  <w:bottom w:w="15" w:type="dxa"/>
                                                  <w:right w:w="15" w:type="dxa"/>
                                                </w:tcMar>
                                                <w:vAlign w:val="center"/>
                                                <w:hideMark/>
                                              </w:tcPr>
                                              <w:p w:rsidR="00E430D7" w:rsidRDefault="00E430D7">
                                                <w:pPr>
                                                  <w:pStyle w:val="NormalWeb"/>
                                                  <w:spacing w:before="0" w:beforeAutospacing="0" w:after="160" w:afterAutospacing="0"/>
                                                  <w:rPr>
                                                    <w:rFonts w:ascii="Calibri" w:hAnsi="Calibri" w:cs="Calibri"/>
                                                  </w:rPr>
                                                </w:pPr>
                                                <w:r>
                                                  <w:rPr>
                                                    <w:rFonts w:ascii="Verdana" w:hAnsi="Verdana" w:cs="Calibri"/>
                                                    <w:color w:val="000080"/>
                                                    <w:sz w:val="20"/>
                                                    <w:szCs w:val="20"/>
                                                  </w:rPr>
                                                  <w:t>-— Diğerleri</w:t>
                                                </w:r>
                                              </w:p>
                                            </w:tc>
                                            <w:tc>
                                              <w:tcPr>
                                                <w:tcW w:w="1785" w:type="dxa"/>
                                                <w:tcBorders>
                                                  <w:bottom w:val="outset" w:sz="8" w:space="0" w:color="auto"/>
                                                  <w:right w:val="outset" w:sz="8" w:space="0" w:color="auto"/>
                                                </w:tcBorders>
                                                <w:noWrap/>
                                                <w:tcMar>
                                                  <w:top w:w="15" w:type="dxa"/>
                                                  <w:left w:w="15" w:type="dxa"/>
                                                  <w:bottom w:w="15" w:type="dxa"/>
                                                  <w:right w:w="15" w:type="dxa"/>
                                                </w:tcMar>
                                                <w:vAlign w:val="center"/>
                                                <w:hideMark/>
                                              </w:tcPr>
                                              <w:p w:rsidR="00E430D7" w:rsidRDefault="00E430D7">
                                                <w:pPr>
                                                  <w:pStyle w:val="NormalWeb"/>
                                                  <w:spacing w:before="0" w:beforeAutospacing="0" w:after="160" w:afterAutospacing="0"/>
                                                  <w:jc w:val="center"/>
                                                  <w:rPr>
                                                    <w:rFonts w:ascii="Calibri" w:hAnsi="Calibri" w:cs="Calibri"/>
                                                  </w:rPr>
                                                </w:pPr>
                                                <w:r>
                                                  <w:rPr>
                                                    <w:rFonts w:ascii="Verdana" w:hAnsi="Verdana" w:cs="Calibri"/>
                                                    <w:color w:val="000080"/>
                                                    <w:sz w:val="20"/>
                                                    <w:szCs w:val="20"/>
                                                  </w:rPr>
                                                  <w:t>80</w:t>
                                                </w:r>
                                              </w:p>
                                            </w:tc>
                                          </w:tr>
                                        </w:tbl>
                                        <w:p w:rsidR="00E430D7" w:rsidRDefault="00E430D7">
                                          <w:pPr>
                                            <w:spacing w:line="285" w:lineRule="atLeast"/>
                                            <w:jc w:val="center"/>
                                            <w:rPr>
                                              <w:rFonts w:ascii="Trebuchet MS" w:hAnsi="Trebuchet MS" w:cs="Times New Roman"/>
                                              <w:color w:val="666666"/>
                                            </w:rPr>
                                          </w:pPr>
                                        </w:p>
                                      </w:tc>
                                    </w:tr>
                                  </w:tbl>
                                  <w:p w:rsidR="00E430D7" w:rsidRDefault="00E430D7">
                                    <w:pPr>
                                      <w:spacing w:line="240" w:lineRule="auto"/>
                                      <w:rPr>
                                        <w:rFonts w:ascii="Trebuchet MS" w:hAnsi="Trebuchet MS"/>
                                        <w:color w:val="666666"/>
                                        <w:sz w:val="20"/>
                                        <w:szCs w:val="20"/>
                                      </w:rPr>
                                    </w:pPr>
                                  </w:p>
                                </w:tc>
                                <w:tc>
                                  <w:tcPr>
                                    <w:tcW w:w="435" w:type="dxa"/>
                                    <w:shd w:val="clear" w:color="auto" w:fill="FFFFFF"/>
                                    <w:vAlign w:val="center"/>
                                    <w:hideMark/>
                                  </w:tcPr>
                                  <w:p w:rsidR="00E430D7" w:rsidRDefault="00E430D7">
                                    <w:pPr>
                                      <w:rPr>
                                        <w:rFonts w:ascii="Trebuchet MS" w:hAnsi="Trebuchet MS"/>
                                        <w:color w:val="666666"/>
                                        <w:sz w:val="20"/>
                                        <w:szCs w:val="20"/>
                                      </w:rPr>
                                    </w:pPr>
                                    <w:r>
                                      <w:rPr>
                                        <w:rFonts w:ascii="Trebuchet MS" w:hAnsi="Trebuchet MS"/>
                                        <w:noProof/>
                                        <w:color w:val="666666"/>
                                        <w:sz w:val="20"/>
                                        <w:szCs w:val="20"/>
                                        <w:lang w:eastAsia="tr-TR"/>
                                      </w:rPr>
                                      <w:drawing>
                                        <wp:inline distT="0" distB="0" distL="0" distR="0">
                                          <wp:extent cx="276225" cy="9525"/>
                                          <wp:effectExtent l="0" t="0" r="0" b="0"/>
                                          <wp:docPr id="18" name="Resim 18" descr="https://www.assetoptimus.com/documents/images/robot/spacer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www.assetoptimus.com/documents/images/robot/spacer10.gif"/>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76225" cy="9525"/>
                                                  </a:xfrm>
                                                  <a:prstGeom prst="rect">
                                                    <a:avLst/>
                                                  </a:prstGeom>
                                                  <a:noFill/>
                                                  <a:ln>
                                                    <a:noFill/>
                                                  </a:ln>
                                                </pic:spPr>
                                              </pic:pic>
                                            </a:graphicData>
                                          </a:graphic>
                                        </wp:inline>
                                      </w:drawing>
                                    </w:r>
                                  </w:p>
                                </w:tc>
                              </w:tr>
                            </w:tbl>
                            <w:p w:rsidR="00E430D7" w:rsidRDefault="00E430D7">
                              <w:pPr>
                                <w:rPr>
                                  <w:rFonts w:ascii="Times New Roman" w:hAnsi="Times New Roman"/>
                                  <w:sz w:val="24"/>
                                  <w:szCs w:val="24"/>
                                </w:rPr>
                              </w:pPr>
                            </w:p>
                          </w:tc>
                        </w:tr>
                      </w:tbl>
                      <w:p w:rsidR="00E430D7" w:rsidRDefault="00E430D7">
                        <w:pPr>
                          <w:rPr>
                            <w:rFonts w:ascii="Trebuchet MS" w:hAnsi="Trebuchet MS"/>
                            <w:color w:val="666666"/>
                            <w:sz w:val="20"/>
                            <w:szCs w:val="20"/>
                          </w:rPr>
                        </w:pPr>
                      </w:p>
                    </w:tc>
                    <w:tc>
                      <w:tcPr>
                        <w:tcW w:w="0" w:type="auto"/>
                        <w:shd w:val="clear" w:color="auto" w:fill="E3E3E3"/>
                        <w:vAlign w:val="center"/>
                        <w:hideMark/>
                      </w:tcPr>
                      <w:p w:rsidR="00E430D7" w:rsidRDefault="00E430D7">
                        <w:pPr>
                          <w:rPr>
                            <w:sz w:val="24"/>
                            <w:szCs w:val="24"/>
                          </w:rPr>
                        </w:pPr>
                        <w:r>
                          <w:rPr>
                            <w:noProof/>
                            <w:lang w:eastAsia="tr-TR"/>
                          </w:rPr>
                          <w:drawing>
                            <wp:inline distT="0" distB="0" distL="0" distR="0">
                              <wp:extent cx="9525" cy="9525"/>
                              <wp:effectExtent l="0" t="0" r="0" b="0"/>
                              <wp:docPr id="17" name="Resim 17" descr="https://www.assetoptimus.com/documents/images/robot/spacer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www.assetoptimus.com/documents/images/robot/spacer10.gif"/>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E430D7" w:rsidRDefault="00E430D7"/>
              </w:tc>
            </w:tr>
            <w:tr w:rsidR="00E430D7" w:rsidTr="00E430D7">
              <w:trPr>
                <w:tblCellSpacing w:w="0" w:type="dxa"/>
                <w:jc w:val="center"/>
              </w:trPr>
              <w:tc>
                <w:tcPr>
                  <w:tcW w:w="0" w:type="auto"/>
                  <w:vAlign w:val="center"/>
                  <w:hideMark/>
                </w:tcPr>
                <w:tbl>
                  <w:tblPr>
                    <w:tblW w:w="10500" w:type="dxa"/>
                    <w:jc w:val="center"/>
                    <w:tblCellSpacing w:w="0" w:type="dxa"/>
                    <w:tblCellMar>
                      <w:left w:w="0" w:type="dxa"/>
                      <w:right w:w="0" w:type="dxa"/>
                    </w:tblCellMar>
                    <w:tblLook w:val="04A0" w:firstRow="1" w:lastRow="0" w:firstColumn="1" w:lastColumn="0" w:noHBand="0" w:noVBand="1"/>
                  </w:tblPr>
                  <w:tblGrid>
                    <w:gridCol w:w="13"/>
                    <w:gridCol w:w="44"/>
                    <w:gridCol w:w="4681"/>
                    <w:gridCol w:w="2403"/>
                    <w:gridCol w:w="3302"/>
                    <w:gridCol w:w="44"/>
                    <w:gridCol w:w="13"/>
                  </w:tblGrid>
                  <w:tr w:rsidR="00E430D7">
                    <w:trPr>
                      <w:tblCellSpacing w:w="0" w:type="dxa"/>
                      <w:jc w:val="center"/>
                    </w:trPr>
                    <w:tc>
                      <w:tcPr>
                        <w:tcW w:w="0" w:type="auto"/>
                        <w:vAlign w:val="center"/>
                        <w:hideMark/>
                      </w:tcPr>
                      <w:p w:rsidR="00E430D7" w:rsidRDefault="00E430D7">
                        <w:pPr>
                          <w:rPr>
                            <w:sz w:val="24"/>
                            <w:szCs w:val="24"/>
                          </w:rPr>
                        </w:pPr>
                        <w:r>
                          <w:rPr>
                            <w:noProof/>
                            <w:lang w:eastAsia="tr-TR"/>
                          </w:rPr>
                          <w:drawing>
                            <wp:inline distT="0" distB="0" distL="0" distR="0">
                              <wp:extent cx="9525" cy="190500"/>
                              <wp:effectExtent l="0" t="0" r="9525" b="0"/>
                              <wp:docPr id="16" name="Resim 16" descr="https://www.assetoptimus.com/documents/images/robot/template_bot_left_1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www.assetoptimus.com/documents/images/robot/template_bot_left_1px.jp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9525" cy="190500"/>
                                      </a:xfrm>
                                      <a:prstGeom prst="rect">
                                        <a:avLst/>
                                      </a:prstGeom>
                                      <a:noFill/>
                                      <a:ln>
                                        <a:noFill/>
                                      </a:ln>
                                    </pic:spPr>
                                  </pic:pic>
                                </a:graphicData>
                              </a:graphic>
                            </wp:inline>
                          </w:drawing>
                        </w:r>
                      </w:p>
                    </w:tc>
                    <w:tc>
                      <w:tcPr>
                        <w:tcW w:w="0" w:type="auto"/>
                        <w:vAlign w:val="center"/>
                        <w:hideMark/>
                      </w:tcPr>
                      <w:p w:rsidR="00E430D7" w:rsidRDefault="00E430D7">
                        <w:r>
                          <w:rPr>
                            <w:noProof/>
                            <w:lang w:eastAsia="tr-TR"/>
                          </w:rPr>
                          <w:drawing>
                            <wp:inline distT="0" distB="0" distL="0" distR="0">
                              <wp:extent cx="28575" cy="190500"/>
                              <wp:effectExtent l="0" t="0" r="9525" b="0"/>
                              <wp:docPr id="15" name="Resim 15" descr="https://www.assetoptimus.com/documents/images/robot/template_bot_left_3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www.assetoptimus.com/documents/images/robot/template_bot_left_3px.jpg"/>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8575" cy="190500"/>
                                      </a:xfrm>
                                      <a:prstGeom prst="rect">
                                        <a:avLst/>
                                      </a:prstGeom>
                                      <a:noFill/>
                                      <a:ln>
                                        <a:noFill/>
                                      </a:ln>
                                    </pic:spPr>
                                  </pic:pic>
                                </a:graphicData>
                              </a:graphic>
                            </wp:inline>
                          </w:drawing>
                        </w:r>
                      </w:p>
                    </w:tc>
                    <w:tc>
                      <w:tcPr>
                        <w:tcW w:w="0" w:type="auto"/>
                        <w:vAlign w:val="center"/>
                        <w:hideMark/>
                      </w:tcPr>
                      <w:p w:rsidR="00E430D7" w:rsidRDefault="00E430D7">
                        <w:r>
                          <w:rPr>
                            <w:noProof/>
                            <w:lang w:eastAsia="tr-TR"/>
                          </w:rPr>
                          <w:drawing>
                            <wp:inline distT="0" distB="0" distL="0" distR="0">
                              <wp:extent cx="2971800" cy="190500"/>
                              <wp:effectExtent l="0" t="0" r="0" b="0"/>
                              <wp:docPr id="14" name="Resim 14" descr="https://www.assetoptimus.com/documents/images/robot/template_bot_312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www.assetoptimus.com/documents/images/robot/template_bot_312px.jpg"/>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971800" cy="190500"/>
                                      </a:xfrm>
                                      <a:prstGeom prst="rect">
                                        <a:avLst/>
                                      </a:prstGeom>
                                      <a:noFill/>
                                      <a:ln>
                                        <a:noFill/>
                                      </a:ln>
                                    </pic:spPr>
                                  </pic:pic>
                                </a:graphicData>
                              </a:graphic>
                            </wp:inline>
                          </w:drawing>
                        </w:r>
                      </w:p>
                    </w:tc>
                    <w:tc>
                      <w:tcPr>
                        <w:tcW w:w="0" w:type="auto"/>
                        <w:vAlign w:val="center"/>
                        <w:hideMark/>
                      </w:tcPr>
                      <w:p w:rsidR="00E430D7" w:rsidRDefault="00E430D7"/>
                    </w:tc>
                    <w:tc>
                      <w:tcPr>
                        <w:tcW w:w="0" w:type="auto"/>
                        <w:vAlign w:val="center"/>
                        <w:hideMark/>
                      </w:tcPr>
                      <w:p w:rsidR="00E430D7" w:rsidRDefault="00E430D7">
                        <w:r>
                          <w:rPr>
                            <w:noProof/>
                            <w:lang w:eastAsia="tr-TR"/>
                          </w:rPr>
                          <w:drawing>
                            <wp:inline distT="0" distB="0" distL="0" distR="0">
                              <wp:extent cx="2095500" cy="190500"/>
                              <wp:effectExtent l="0" t="0" r="0" b="0"/>
                              <wp:docPr id="12" name="Resim 12" descr="https://www.assetoptimus.com/documents/images/robot/template_bot_220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www.assetoptimus.com/documents/images/robot/template_bot_220px.jpg"/>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095500" cy="190500"/>
                                      </a:xfrm>
                                      <a:prstGeom prst="rect">
                                        <a:avLst/>
                                      </a:prstGeom>
                                      <a:noFill/>
                                      <a:ln>
                                        <a:noFill/>
                                      </a:ln>
                                    </pic:spPr>
                                  </pic:pic>
                                </a:graphicData>
                              </a:graphic>
                            </wp:inline>
                          </w:drawing>
                        </w:r>
                      </w:p>
                    </w:tc>
                    <w:tc>
                      <w:tcPr>
                        <w:tcW w:w="0" w:type="auto"/>
                        <w:vAlign w:val="center"/>
                        <w:hideMark/>
                      </w:tcPr>
                      <w:p w:rsidR="00E430D7" w:rsidRDefault="00E430D7">
                        <w:r>
                          <w:rPr>
                            <w:noProof/>
                            <w:lang w:eastAsia="tr-TR"/>
                          </w:rPr>
                          <w:drawing>
                            <wp:inline distT="0" distB="0" distL="0" distR="0">
                              <wp:extent cx="28575" cy="190500"/>
                              <wp:effectExtent l="0" t="0" r="9525" b="0"/>
                              <wp:docPr id="11" name="Resim 11" descr="https://www.assetoptimus.com/documents/images/robot/template_bot_right_3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www.assetoptimus.com/documents/images/robot/template_bot_right_3px.jpg"/>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8575" cy="190500"/>
                                      </a:xfrm>
                                      <a:prstGeom prst="rect">
                                        <a:avLst/>
                                      </a:prstGeom>
                                      <a:noFill/>
                                      <a:ln>
                                        <a:noFill/>
                                      </a:ln>
                                    </pic:spPr>
                                  </pic:pic>
                                </a:graphicData>
                              </a:graphic>
                            </wp:inline>
                          </w:drawing>
                        </w:r>
                      </w:p>
                    </w:tc>
                    <w:tc>
                      <w:tcPr>
                        <w:tcW w:w="0" w:type="auto"/>
                        <w:vAlign w:val="center"/>
                        <w:hideMark/>
                      </w:tcPr>
                      <w:p w:rsidR="00E430D7" w:rsidRDefault="00E430D7">
                        <w:r>
                          <w:rPr>
                            <w:noProof/>
                            <w:lang w:eastAsia="tr-TR"/>
                          </w:rPr>
                          <w:drawing>
                            <wp:inline distT="0" distB="0" distL="0" distR="0">
                              <wp:extent cx="9525" cy="190500"/>
                              <wp:effectExtent l="0" t="0" r="9525" b="0"/>
                              <wp:docPr id="10" name="Resim 10" descr="https://www.assetoptimus.com/documents/images/robot/template_bot_right_1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www.assetoptimus.com/documents/images/robot/template_bot_right_1px.jpg"/>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9525" cy="190500"/>
                                      </a:xfrm>
                                      <a:prstGeom prst="rect">
                                        <a:avLst/>
                                      </a:prstGeom>
                                      <a:noFill/>
                                      <a:ln>
                                        <a:noFill/>
                                      </a:ln>
                                    </pic:spPr>
                                  </pic:pic>
                                </a:graphicData>
                              </a:graphic>
                            </wp:inline>
                          </w:drawing>
                        </w:r>
                      </w:p>
                    </w:tc>
                  </w:tr>
                </w:tbl>
                <w:p w:rsidR="00E430D7" w:rsidRDefault="00E430D7"/>
              </w:tc>
            </w:tr>
          </w:tbl>
          <w:p w:rsidR="00E430D7" w:rsidRDefault="00E430D7">
            <w:pPr>
              <w:jc w:val="center"/>
              <w:rPr>
                <w:sz w:val="24"/>
                <w:szCs w:val="24"/>
              </w:rPr>
            </w:pPr>
          </w:p>
        </w:tc>
      </w:tr>
    </w:tbl>
    <w:p w:rsidR="00E430D7" w:rsidRDefault="00BD6649" w:rsidP="00E430D7">
      <w:pPr>
        <w:pStyle w:val="NormalWeb"/>
        <w:shd w:val="clear" w:color="auto" w:fill="FFFFFF"/>
        <w:rPr>
          <w:rFonts w:ascii="Calibri" w:hAnsi="Calibri" w:cs="Calibri"/>
          <w:color w:val="666666"/>
          <w:sz w:val="22"/>
          <w:szCs w:val="22"/>
        </w:rPr>
      </w:pPr>
      <w:hyperlink r:id="rId42" w:history="1">
        <w:r w:rsidR="00E430D7" w:rsidRPr="0054363A">
          <w:rPr>
            <w:rStyle w:val="Kpr"/>
            <w:rFonts w:ascii="Calibri" w:hAnsi="Calibri" w:cs="Calibri"/>
            <w:sz w:val="22"/>
            <w:szCs w:val="22"/>
          </w:rPr>
          <w:t>http://www.lojiblog.com/services/viewer.php?data=16787</w:t>
        </w:r>
      </w:hyperlink>
    </w:p>
    <w:p w:rsidR="00E430D7" w:rsidRPr="003C0635" w:rsidRDefault="003C0635" w:rsidP="00E430D7">
      <w:pPr>
        <w:pStyle w:val="NormalWeb"/>
        <w:shd w:val="clear" w:color="auto" w:fill="FFFFFF"/>
        <w:rPr>
          <w:rFonts w:ascii="Trebuchet MS" w:eastAsiaTheme="minorHAnsi" w:hAnsi="Trebuchet MS" w:cstheme="minorBidi"/>
          <w:color w:val="666666"/>
          <w:sz w:val="23"/>
          <w:szCs w:val="23"/>
          <w:shd w:val="clear" w:color="auto" w:fill="FFFFFF"/>
          <w:lang w:eastAsia="en-US"/>
        </w:rPr>
      </w:pPr>
      <w:r w:rsidRPr="003C0635">
        <w:rPr>
          <w:rFonts w:ascii="Trebuchet MS" w:eastAsiaTheme="minorHAnsi" w:hAnsi="Trebuchet MS" w:cstheme="minorBidi"/>
          <w:b/>
          <w:color w:val="666666"/>
          <w:sz w:val="23"/>
          <w:szCs w:val="23"/>
          <w:shd w:val="clear" w:color="auto" w:fill="FFFFFF"/>
          <w:lang w:eastAsia="en-US"/>
        </w:rPr>
        <w:t>33----</w:t>
      </w:r>
      <w:r w:rsidR="00E430D7" w:rsidRPr="003C0635">
        <w:rPr>
          <w:rFonts w:ascii="Trebuchet MS" w:eastAsiaTheme="minorHAnsi" w:hAnsi="Trebuchet MS" w:cstheme="minorBidi"/>
          <w:color w:val="666666"/>
          <w:sz w:val="23"/>
          <w:szCs w:val="23"/>
          <w:shd w:val="clear" w:color="auto" w:fill="FFFFFF"/>
          <w:lang w:eastAsia="en-US"/>
        </w:rPr>
        <w:t>2022 Yılı için yeniden değerleme oranının (</w:t>
      </w:r>
      <w:r w:rsidR="00E430D7" w:rsidRPr="003C0635">
        <w:rPr>
          <w:rFonts w:ascii="Trebuchet MS" w:eastAsiaTheme="minorHAnsi" w:hAnsi="Trebuchet MS" w:cstheme="minorBidi"/>
          <w:b/>
          <w:bCs/>
          <w:sz w:val="23"/>
          <w:szCs w:val="23"/>
          <w:shd w:val="clear" w:color="auto" w:fill="FFFFFF"/>
          <w:lang w:eastAsia="en-US"/>
        </w:rPr>
        <w:t>yeniden değerleme yapılacak yılın Ekim ayında (Ekim ayı dâhil) bir önceki yılın aynı dönemine göre Türkiye İstatistik Kurumunun Yurt İçi Üretici Fiyat Endeksinde meydana gelen ortalama fiyat artış oranı)</w:t>
      </w:r>
      <w:r w:rsidR="00E430D7" w:rsidRPr="003C0635">
        <w:rPr>
          <w:rFonts w:ascii="Trebuchet MS" w:eastAsiaTheme="minorHAnsi" w:hAnsi="Trebuchet MS" w:cstheme="minorBidi"/>
          <w:color w:val="666666"/>
          <w:sz w:val="23"/>
          <w:szCs w:val="23"/>
          <w:shd w:val="clear" w:color="auto" w:fill="FFFFFF"/>
          <w:lang w:eastAsia="en-US"/>
        </w:rPr>
        <w:t> </w:t>
      </w:r>
      <w:r w:rsidR="00E430D7" w:rsidRPr="003C0635">
        <w:rPr>
          <w:rFonts w:ascii="Trebuchet MS" w:eastAsiaTheme="minorHAnsi" w:hAnsi="Trebuchet MS" w:cstheme="minorBidi"/>
          <w:i/>
          <w:iCs/>
          <w:sz w:val="23"/>
          <w:szCs w:val="23"/>
          <w:shd w:val="clear" w:color="auto" w:fill="FFFFFF"/>
          <w:lang w:eastAsia="en-US"/>
        </w:rPr>
        <w:t>% 122,93 (yüz yirmi iki virgül doksan üç)</w:t>
      </w:r>
      <w:r w:rsidR="00E430D7" w:rsidRPr="003C0635">
        <w:rPr>
          <w:rFonts w:ascii="Trebuchet MS" w:eastAsiaTheme="minorHAnsi" w:hAnsi="Trebuchet MS" w:cstheme="minorBidi"/>
          <w:b/>
          <w:bCs/>
          <w:sz w:val="23"/>
          <w:szCs w:val="23"/>
          <w:shd w:val="clear" w:color="auto" w:fill="FFFFFF"/>
          <w:lang w:eastAsia="en-US"/>
        </w:rPr>
        <w:t> </w:t>
      </w:r>
      <w:r w:rsidR="00E430D7" w:rsidRPr="003C0635">
        <w:rPr>
          <w:rFonts w:ascii="Trebuchet MS" w:eastAsiaTheme="minorHAnsi" w:hAnsi="Trebuchet MS" w:cstheme="minorBidi"/>
          <w:color w:val="666666"/>
          <w:sz w:val="23"/>
          <w:szCs w:val="23"/>
          <w:shd w:val="clear" w:color="auto" w:fill="FFFFFF"/>
          <w:lang w:eastAsia="en-US"/>
        </w:rPr>
        <w:t>olarak(2021 yılı için bu oran %36,30 olarak belirlenmişti) tespit edilmesine dair Vergi Us</w:t>
      </w:r>
      <w:r>
        <w:rPr>
          <w:rFonts w:ascii="Trebuchet MS" w:eastAsiaTheme="minorHAnsi" w:hAnsi="Trebuchet MS" w:cstheme="minorBidi"/>
          <w:color w:val="666666"/>
          <w:sz w:val="23"/>
          <w:szCs w:val="23"/>
          <w:shd w:val="clear" w:color="auto" w:fill="FFFFFF"/>
          <w:lang w:eastAsia="en-US"/>
        </w:rPr>
        <w:t>ul Kanunu Genel Tebliği aşağıdaki linktedir.</w:t>
      </w:r>
    </w:p>
    <w:p w:rsidR="00E430D7" w:rsidRPr="003C0635" w:rsidRDefault="00E430D7" w:rsidP="00E430D7">
      <w:pPr>
        <w:pStyle w:val="NormalWeb"/>
        <w:shd w:val="clear" w:color="auto" w:fill="FFFFFF"/>
        <w:spacing w:before="0" w:beforeAutospacing="0" w:after="160" w:afterAutospacing="0"/>
        <w:rPr>
          <w:rFonts w:ascii="Trebuchet MS" w:eastAsiaTheme="minorHAnsi" w:hAnsi="Trebuchet MS" w:cstheme="minorBidi"/>
          <w:b/>
          <w:bCs/>
          <w:sz w:val="23"/>
          <w:szCs w:val="23"/>
          <w:shd w:val="clear" w:color="auto" w:fill="FFFFFF"/>
          <w:lang w:eastAsia="en-US"/>
        </w:rPr>
      </w:pPr>
      <w:r w:rsidRPr="003C0635">
        <w:rPr>
          <w:rFonts w:ascii="Trebuchet MS" w:eastAsiaTheme="minorHAnsi" w:hAnsi="Trebuchet MS" w:cstheme="minorBidi"/>
          <w:b/>
          <w:bCs/>
          <w:sz w:val="23"/>
          <w:szCs w:val="23"/>
          <w:shd w:val="clear" w:color="auto" w:fill="FFFFFF"/>
          <w:lang w:eastAsia="en-US"/>
        </w:rPr>
        <w:t>Yeniden değerleme oranı pek çok vergi kalemi, harç ve damga vergisi ile trafik para cezaları, değerli kâğıt bedelleri vb. artışında gösterge olarak kullanılmaktadır.</w:t>
      </w:r>
    </w:p>
    <w:p w:rsidR="00E430D7" w:rsidRDefault="00BD6649" w:rsidP="00E430D7">
      <w:pPr>
        <w:pStyle w:val="NormalWeb"/>
        <w:shd w:val="clear" w:color="auto" w:fill="FFFFFF"/>
        <w:spacing w:before="0" w:beforeAutospacing="0" w:after="160" w:afterAutospacing="0"/>
        <w:rPr>
          <w:rFonts w:ascii="Calibri" w:hAnsi="Calibri" w:cs="Calibri"/>
          <w:color w:val="666666"/>
          <w:sz w:val="22"/>
          <w:szCs w:val="22"/>
        </w:rPr>
      </w:pPr>
      <w:hyperlink r:id="rId43" w:history="1">
        <w:r w:rsidR="00E430D7" w:rsidRPr="0054363A">
          <w:rPr>
            <w:rStyle w:val="Kpr"/>
            <w:rFonts w:ascii="Calibri" w:hAnsi="Calibri" w:cs="Calibri"/>
            <w:sz w:val="22"/>
            <w:szCs w:val="22"/>
          </w:rPr>
          <w:t>http://www.lojiblog.com/services/viewer.php?data=16794</w:t>
        </w:r>
      </w:hyperlink>
    </w:p>
    <w:p w:rsidR="00E430D7" w:rsidRDefault="003C0635" w:rsidP="00E430D7">
      <w:pPr>
        <w:pStyle w:val="NormalWeb"/>
        <w:shd w:val="clear" w:color="auto" w:fill="FFFFFF"/>
        <w:spacing w:before="0" w:beforeAutospacing="0" w:after="160" w:afterAutospacing="0"/>
        <w:rPr>
          <w:rFonts w:ascii="Trebuchet MS" w:hAnsi="Trebuchet MS"/>
          <w:color w:val="666666"/>
          <w:sz w:val="23"/>
          <w:szCs w:val="23"/>
          <w:shd w:val="clear" w:color="auto" w:fill="FFFFFF"/>
        </w:rPr>
      </w:pPr>
      <w:r w:rsidRPr="003C0635">
        <w:rPr>
          <w:rFonts w:ascii="Trebuchet MS" w:hAnsi="Trebuchet MS"/>
          <w:b/>
          <w:color w:val="666666"/>
          <w:sz w:val="23"/>
          <w:szCs w:val="23"/>
          <w:shd w:val="clear" w:color="auto" w:fill="FFFFFF"/>
        </w:rPr>
        <w:t>34----</w:t>
      </w:r>
      <w:r w:rsidR="00E430D7">
        <w:rPr>
          <w:rFonts w:ascii="Trebuchet MS" w:hAnsi="Trebuchet MS"/>
          <w:color w:val="666666"/>
          <w:sz w:val="23"/>
          <w:szCs w:val="23"/>
          <w:shd w:val="clear" w:color="auto" w:fill="FFFFFF"/>
        </w:rPr>
        <w:t xml:space="preserve">Güney Kore ve Vietnam menşeli, 5402.47 tarife alt pozisyonunda yer alan </w:t>
      </w:r>
      <w:r>
        <w:rPr>
          <w:rFonts w:ascii="Trebuchet MS" w:hAnsi="Trebuchet MS"/>
          <w:color w:val="666666"/>
          <w:sz w:val="23"/>
          <w:szCs w:val="23"/>
          <w:shd w:val="clear" w:color="auto" w:fill="FFFFFF"/>
        </w:rPr>
        <w:t>polyester</w:t>
      </w:r>
      <w:r w:rsidR="00E430D7">
        <w:rPr>
          <w:rFonts w:ascii="Trebuchet MS" w:hAnsi="Trebuchet MS"/>
          <w:color w:val="666666"/>
          <w:sz w:val="23"/>
          <w:szCs w:val="23"/>
          <w:shd w:val="clear" w:color="auto" w:fill="FFFFFF"/>
        </w:rPr>
        <w:t xml:space="preserve"> iplik ithalatında uygulanan anti-damping vergisinin d</w:t>
      </w:r>
      <w:r>
        <w:rPr>
          <w:rFonts w:ascii="Trebuchet MS" w:hAnsi="Trebuchet MS"/>
          <w:color w:val="666666"/>
          <w:sz w:val="23"/>
          <w:szCs w:val="23"/>
          <w:shd w:val="clear" w:color="auto" w:fill="FFFFFF"/>
        </w:rPr>
        <w:t>evamı ile ilgili tebliğ aşağıdaki linktedir.</w:t>
      </w:r>
    </w:p>
    <w:p w:rsidR="00E430D7" w:rsidRDefault="00BD6649" w:rsidP="00E430D7">
      <w:pPr>
        <w:pStyle w:val="NormalWeb"/>
        <w:shd w:val="clear" w:color="auto" w:fill="FFFFFF"/>
        <w:spacing w:before="0" w:beforeAutospacing="0" w:after="160" w:afterAutospacing="0"/>
        <w:rPr>
          <w:rFonts w:ascii="Calibri" w:hAnsi="Calibri" w:cs="Calibri"/>
          <w:color w:val="666666"/>
          <w:sz w:val="22"/>
          <w:szCs w:val="22"/>
        </w:rPr>
      </w:pPr>
      <w:hyperlink r:id="rId44" w:history="1">
        <w:r w:rsidR="00E430D7" w:rsidRPr="0054363A">
          <w:rPr>
            <w:rStyle w:val="Kpr"/>
            <w:rFonts w:ascii="Calibri" w:hAnsi="Calibri" w:cs="Calibri"/>
            <w:sz w:val="22"/>
            <w:szCs w:val="22"/>
          </w:rPr>
          <w:t>http://www.lojiblog.com/services/viewer.php?data=16802</w:t>
        </w:r>
      </w:hyperlink>
    </w:p>
    <w:p w:rsidR="00E430D7" w:rsidRPr="003C0635" w:rsidRDefault="003C0635" w:rsidP="00E430D7">
      <w:pPr>
        <w:shd w:val="clear" w:color="auto" w:fill="FFFFFF"/>
        <w:spacing w:before="100" w:beforeAutospacing="1" w:after="100" w:afterAutospacing="1" w:line="240" w:lineRule="auto"/>
        <w:rPr>
          <w:rFonts w:ascii="Trebuchet MS" w:eastAsia="Times New Roman" w:hAnsi="Trebuchet MS" w:cs="Times New Roman"/>
          <w:color w:val="666666"/>
          <w:sz w:val="23"/>
          <w:szCs w:val="23"/>
          <w:shd w:val="clear" w:color="auto" w:fill="FFFFFF"/>
          <w:lang w:eastAsia="tr-TR"/>
        </w:rPr>
      </w:pPr>
      <w:r w:rsidRPr="003C0635">
        <w:rPr>
          <w:rFonts w:ascii="Trebuchet MS" w:eastAsia="Times New Roman" w:hAnsi="Trebuchet MS" w:cs="Times New Roman"/>
          <w:b/>
          <w:color w:val="666666"/>
          <w:sz w:val="23"/>
          <w:szCs w:val="23"/>
          <w:shd w:val="clear" w:color="auto" w:fill="FFFFFF"/>
          <w:lang w:eastAsia="tr-TR"/>
        </w:rPr>
        <w:t>35----</w:t>
      </w:r>
      <w:r w:rsidR="00E430D7" w:rsidRPr="003C0635">
        <w:rPr>
          <w:rFonts w:ascii="Trebuchet MS" w:eastAsia="Times New Roman" w:hAnsi="Trebuchet MS" w:cs="Times New Roman"/>
          <w:color w:val="666666"/>
          <w:sz w:val="23"/>
          <w:szCs w:val="23"/>
          <w:shd w:val="clear" w:color="auto" w:fill="FFFFFF"/>
          <w:lang w:eastAsia="tr-TR"/>
        </w:rPr>
        <w:t>2022/12 Sayılı ‘’Tüketici Ürünlerinin İthalat Denetimi Tebliği’’ ekinde yer alan tüketici ürünlerinin denetimleri ve denetimlerde uygulanması gereken standartlar ile ilgili açıklamaların yer aldığı ‘’Bazı Tüketici Ürünleri</w:t>
      </w:r>
      <w:r>
        <w:rPr>
          <w:rFonts w:ascii="Trebuchet MS" w:eastAsia="Times New Roman" w:hAnsi="Trebuchet MS" w:cs="Times New Roman"/>
          <w:color w:val="666666"/>
          <w:sz w:val="23"/>
          <w:szCs w:val="23"/>
          <w:shd w:val="clear" w:color="auto" w:fill="FFFFFF"/>
          <w:lang w:eastAsia="tr-TR"/>
        </w:rPr>
        <w:t>nde Uygunluk Denetimi Tebliği’n</w:t>
      </w:r>
      <w:r w:rsidRPr="003C0635">
        <w:rPr>
          <w:rFonts w:ascii="Trebuchet MS" w:eastAsia="Times New Roman" w:hAnsi="Trebuchet MS" w:cs="Times New Roman"/>
          <w:color w:val="666666"/>
          <w:sz w:val="23"/>
          <w:szCs w:val="23"/>
          <w:shd w:val="clear" w:color="auto" w:fill="FFFFFF"/>
          <w:lang w:eastAsia="tr-TR"/>
        </w:rPr>
        <w:t>de</w:t>
      </w:r>
      <w:r w:rsidR="00E430D7" w:rsidRPr="003C0635">
        <w:rPr>
          <w:rFonts w:ascii="Trebuchet MS" w:eastAsia="Times New Roman" w:hAnsi="Trebuchet MS" w:cs="Times New Roman"/>
          <w:color w:val="666666"/>
          <w:sz w:val="23"/>
          <w:szCs w:val="23"/>
          <w:shd w:val="clear" w:color="auto" w:fill="FFFFFF"/>
          <w:lang w:eastAsia="tr-TR"/>
        </w:rPr>
        <w:t xml:space="preserve"> değişiklik </w:t>
      </w:r>
      <w:r>
        <w:rPr>
          <w:rFonts w:ascii="Trebuchet MS" w:eastAsia="Times New Roman" w:hAnsi="Trebuchet MS" w:cs="Times New Roman"/>
          <w:color w:val="666666"/>
          <w:sz w:val="23"/>
          <w:szCs w:val="23"/>
          <w:shd w:val="clear" w:color="auto" w:fill="FFFFFF"/>
          <w:lang w:eastAsia="tr-TR"/>
        </w:rPr>
        <w:t>yapılmasına dair tebliğ aşağıdaki linktedir.</w:t>
      </w:r>
    </w:p>
    <w:p w:rsidR="00E430D7" w:rsidRPr="003C0635" w:rsidRDefault="00E430D7" w:rsidP="00E430D7">
      <w:pPr>
        <w:shd w:val="clear" w:color="auto" w:fill="FFFFFF"/>
        <w:spacing w:line="240" w:lineRule="auto"/>
        <w:rPr>
          <w:rFonts w:ascii="Trebuchet MS" w:eastAsia="Times New Roman" w:hAnsi="Trebuchet MS" w:cs="Times New Roman"/>
          <w:color w:val="666666"/>
          <w:sz w:val="23"/>
          <w:szCs w:val="23"/>
          <w:shd w:val="clear" w:color="auto" w:fill="FFFFFF"/>
          <w:lang w:eastAsia="tr-TR"/>
        </w:rPr>
      </w:pPr>
      <w:r w:rsidRPr="003C0635">
        <w:rPr>
          <w:rFonts w:ascii="Trebuchet MS" w:eastAsia="Times New Roman" w:hAnsi="Trebuchet MS" w:cs="Times New Roman"/>
          <w:color w:val="666666"/>
          <w:sz w:val="23"/>
          <w:szCs w:val="23"/>
          <w:shd w:val="clear" w:color="auto" w:fill="FFFFFF"/>
          <w:lang w:eastAsia="tr-TR"/>
        </w:rPr>
        <w:t>Tebliğde yer alan ‘’üretici’’ ibareleri ‘’iktisadi işletmeci’’ olarak değiştirilmiş ve ekinde yer alan standartlara ‘’mobilya donanımları’’ satırı ilave edilmiştir.</w:t>
      </w:r>
    </w:p>
    <w:p w:rsidR="00E430D7" w:rsidRDefault="00BD6649" w:rsidP="00E430D7">
      <w:pPr>
        <w:pStyle w:val="NormalWeb"/>
        <w:shd w:val="clear" w:color="auto" w:fill="FFFFFF"/>
        <w:spacing w:before="0" w:beforeAutospacing="0" w:after="160" w:afterAutospacing="0"/>
        <w:rPr>
          <w:rFonts w:ascii="Calibri" w:hAnsi="Calibri" w:cs="Calibri"/>
          <w:color w:val="666666"/>
          <w:sz w:val="22"/>
          <w:szCs w:val="22"/>
        </w:rPr>
      </w:pPr>
      <w:hyperlink r:id="rId45" w:history="1">
        <w:r w:rsidR="00E430D7" w:rsidRPr="0054363A">
          <w:rPr>
            <w:rStyle w:val="Kpr"/>
            <w:rFonts w:ascii="Calibri" w:hAnsi="Calibri" w:cs="Calibri"/>
            <w:sz w:val="22"/>
            <w:szCs w:val="22"/>
          </w:rPr>
          <w:t>http://www.lojiblog.com/services/viewer.php?data=16811</w:t>
        </w:r>
      </w:hyperlink>
    </w:p>
    <w:p w:rsidR="00E430D7" w:rsidRPr="003C0635" w:rsidRDefault="003C0635" w:rsidP="00E430D7">
      <w:pPr>
        <w:pStyle w:val="NormalWeb"/>
        <w:shd w:val="clear" w:color="auto" w:fill="FFFFFF"/>
        <w:spacing w:before="0" w:beforeAutospacing="0" w:after="160" w:afterAutospacing="0"/>
        <w:rPr>
          <w:rFonts w:ascii="Trebuchet MS" w:hAnsi="Trebuchet MS"/>
          <w:color w:val="666666"/>
          <w:sz w:val="23"/>
          <w:szCs w:val="23"/>
          <w:shd w:val="clear" w:color="auto" w:fill="FFFFFF"/>
        </w:rPr>
      </w:pPr>
      <w:r w:rsidRPr="003C0635">
        <w:rPr>
          <w:rFonts w:ascii="Trebuchet MS" w:hAnsi="Trebuchet MS"/>
          <w:b/>
          <w:color w:val="666666"/>
          <w:sz w:val="23"/>
          <w:szCs w:val="23"/>
          <w:shd w:val="clear" w:color="auto" w:fill="FFFFFF"/>
        </w:rPr>
        <w:t>36----</w:t>
      </w:r>
      <w:r w:rsidR="00AC19F7" w:rsidRPr="003C0635">
        <w:rPr>
          <w:rFonts w:ascii="Trebuchet MS" w:hAnsi="Trebuchet MS"/>
          <w:color w:val="666666"/>
          <w:sz w:val="23"/>
          <w:szCs w:val="23"/>
          <w:shd w:val="clear" w:color="auto" w:fill="FFFFFF"/>
        </w:rPr>
        <w:t>Çin menşeli 7009.91 tarife alt pozisyonunda yer alan çerçevesiz aynaların ithalatında %27 oranında uygulanan anti-damping vergisinin d</w:t>
      </w:r>
      <w:r>
        <w:rPr>
          <w:rFonts w:ascii="Trebuchet MS" w:hAnsi="Trebuchet MS"/>
          <w:color w:val="666666"/>
          <w:sz w:val="23"/>
          <w:szCs w:val="23"/>
          <w:shd w:val="clear" w:color="auto" w:fill="FFFFFF"/>
        </w:rPr>
        <w:t>evamı ile ilgili tebliğ aşağıdaki linktedir.</w:t>
      </w:r>
    </w:p>
    <w:p w:rsidR="00AC19F7" w:rsidRDefault="00BD6649" w:rsidP="00E430D7">
      <w:pPr>
        <w:pStyle w:val="NormalWeb"/>
        <w:shd w:val="clear" w:color="auto" w:fill="FFFFFF"/>
        <w:spacing w:before="0" w:beforeAutospacing="0" w:after="160" w:afterAutospacing="0"/>
        <w:rPr>
          <w:rStyle w:val="Kpr"/>
          <w:rFonts w:ascii="Calibri" w:hAnsi="Calibri" w:cs="Calibri"/>
          <w:sz w:val="22"/>
          <w:szCs w:val="22"/>
        </w:rPr>
      </w:pPr>
      <w:hyperlink r:id="rId46" w:history="1">
        <w:r w:rsidR="00AC19F7" w:rsidRPr="0054363A">
          <w:rPr>
            <w:rStyle w:val="Kpr"/>
            <w:rFonts w:ascii="Calibri" w:hAnsi="Calibri" w:cs="Calibri"/>
            <w:sz w:val="22"/>
            <w:szCs w:val="22"/>
          </w:rPr>
          <w:t>http://www.lojiblog.com/services/viewer.php?data=16827</w:t>
        </w:r>
      </w:hyperlink>
    </w:p>
    <w:p w:rsidR="003C0635" w:rsidRDefault="003C0635" w:rsidP="00E430D7">
      <w:pPr>
        <w:pStyle w:val="NormalWeb"/>
        <w:shd w:val="clear" w:color="auto" w:fill="FFFFFF"/>
        <w:spacing w:before="0" w:beforeAutospacing="0" w:after="160" w:afterAutospacing="0"/>
        <w:rPr>
          <w:rFonts w:ascii="Trebuchet MS" w:hAnsi="Trebuchet MS"/>
          <w:color w:val="666666"/>
          <w:sz w:val="23"/>
          <w:szCs w:val="23"/>
          <w:shd w:val="clear" w:color="auto" w:fill="FFFFFF"/>
        </w:rPr>
      </w:pPr>
      <w:r w:rsidRPr="003C0635">
        <w:rPr>
          <w:rFonts w:ascii="Trebuchet MS" w:hAnsi="Trebuchet MS"/>
          <w:b/>
          <w:color w:val="666666"/>
          <w:sz w:val="23"/>
          <w:szCs w:val="23"/>
          <w:shd w:val="clear" w:color="auto" w:fill="FFFFFF"/>
        </w:rPr>
        <w:t>37----</w:t>
      </w:r>
      <w:r>
        <w:rPr>
          <w:rFonts w:ascii="Trebuchet MS" w:hAnsi="Trebuchet MS"/>
          <w:color w:val="666666"/>
          <w:sz w:val="23"/>
          <w:szCs w:val="23"/>
          <w:shd w:val="clear" w:color="auto" w:fill="FFFFFF"/>
        </w:rPr>
        <w:t>21-26 Kasım 2022 Haftası Ekonomik Gelişmeler konulu özel rapor aşağıdaki linktedir.</w:t>
      </w:r>
    </w:p>
    <w:p w:rsidR="003C0635" w:rsidRDefault="00BD6649" w:rsidP="00E430D7">
      <w:pPr>
        <w:pStyle w:val="NormalWeb"/>
        <w:shd w:val="clear" w:color="auto" w:fill="FFFFFF"/>
        <w:spacing w:before="0" w:beforeAutospacing="0" w:after="160" w:afterAutospacing="0"/>
        <w:rPr>
          <w:rStyle w:val="Kpr"/>
          <w:rFonts w:ascii="Calibri" w:hAnsi="Calibri" w:cs="Calibri"/>
          <w:sz w:val="22"/>
          <w:szCs w:val="22"/>
        </w:rPr>
      </w:pPr>
      <w:hyperlink r:id="rId47" w:history="1">
        <w:r w:rsidR="003C0635" w:rsidRPr="00276BF9">
          <w:rPr>
            <w:rStyle w:val="Kpr"/>
            <w:rFonts w:ascii="Calibri" w:hAnsi="Calibri" w:cs="Calibri"/>
            <w:sz w:val="22"/>
            <w:szCs w:val="22"/>
          </w:rPr>
          <w:t>http://www.lojiblog.com/services/viewer.php?data=16835</w:t>
        </w:r>
      </w:hyperlink>
    </w:p>
    <w:p w:rsidR="00BD6649" w:rsidRPr="00BD6649" w:rsidRDefault="00BD6649" w:rsidP="00BD6649">
      <w:pPr>
        <w:shd w:val="clear" w:color="auto" w:fill="FFFFFF"/>
        <w:spacing w:before="100" w:beforeAutospacing="1" w:after="100" w:afterAutospacing="1" w:line="240" w:lineRule="auto"/>
        <w:rPr>
          <w:rFonts w:ascii="Trebuchet MS" w:eastAsia="Times New Roman" w:hAnsi="Trebuchet MS" w:cs="Times New Roman"/>
          <w:color w:val="666666"/>
          <w:sz w:val="23"/>
          <w:szCs w:val="23"/>
          <w:shd w:val="clear" w:color="auto" w:fill="FFFFFF"/>
          <w:lang w:eastAsia="tr-TR"/>
        </w:rPr>
      </w:pPr>
      <w:r w:rsidRPr="00BD6649">
        <w:rPr>
          <w:rFonts w:ascii="Trebuchet MS" w:eastAsia="Times New Roman" w:hAnsi="Trebuchet MS" w:cs="Times New Roman"/>
          <w:b/>
          <w:color w:val="666666"/>
          <w:sz w:val="23"/>
          <w:szCs w:val="23"/>
          <w:shd w:val="clear" w:color="auto" w:fill="FFFFFF"/>
          <w:lang w:eastAsia="tr-TR"/>
        </w:rPr>
        <w:t>32----</w:t>
      </w:r>
      <w:r w:rsidRPr="00BD6649">
        <w:rPr>
          <w:rFonts w:ascii="Trebuchet MS" w:eastAsia="Times New Roman" w:hAnsi="Trebuchet MS" w:cs="Times New Roman"/>
          <w:color w:val="666666"/>
          <w:sz w:val="23"/>
          <w:szCs w:val="23"/>
          <w:shd w:val="clear" w:color="auto" w:fill="FFFFFF"/>
          <w:lang w:eastAsia="tr-TR"/>
        </w:rPr>
        <w:t>EORI numarası girilmesi uygulamasının yalnızca Birleşik Krallık ’ta yerleşik ihracatçılara mahsus olduğu ve Türk ihracatçılardan bu yönde bir talepte bulunulamayacağı,</w:t>
      </w:r>
    </w:p>
    <w:p w:rsidR="00BD6649" w:rsidRPr="00BD6649" w:rsidRDefault="00BD6649" w:rsidP="00BD6649">
      <w:pPr>
        <w:shd w:val="clear" w:color="auto" w:fill="FFFFFF"/>
        <w:spacing w:line="240" w:lineRule="auto"/>
        <w:rPr>
          <w:rFonts w:ascii="Trebuchet MS" w:eastAsia="Times New Roman" w:hAnsi="Trebuchet MS" w:cs="Times New Roman"/>
          <w:color w:val="666666"/>
          <w:sz w:val="23"/>
          <w:szCs w:val="23"/>
          <w:shd w:val="clear" w:color="auto" w:fill="FFFFFF"/>
          <w:lang w:eastAsia="tr-TR"/>
        </w:rPr>
      </w:pPr>
      <w:r w:rsidRPr="00BD6649">
        <w:rPr>
          <w:rFonts w:ascii="Trebuchet MS" w:eastAsia="Times New Roman" w:hAnsi="Trebuchet MS" w:cs="Times New Roman"/>
          <w:color w:val="666666"/>
          <w:sz w:val="23"/>
          <w:szCs w:val="23"/>
          <w:shd w:val="clear" w:color="auto" w:fill="FFFFFF"/>
          <w:lang w:eastAsia="tr-TR"/>
        </w:rPr>
        <w:t>-Türkiye – Birleşik Krallık STA kapsamında, her iki taraf için de REX numarası girilmesi şeklinde bir uygulamanın söz konusu olmadığı,</w:t>
      </w:r>
    </w:p>
    <w:p w:rsidR="00BD6649" w:rsidRPr="00BD6649" w:rsidRDefault="00BD6649" w:rsidP="00BD6649">
      <w:pPr>
        <w:shd w:val="clear" w:color="auto" w:fill="FFFFFF"/>
        <w:spacing w:after="0" w:line="240" w:lineRule="auto"/>
        <w:rPr>
          <w:rFonts w:ascii="Trebuchet MS" w:eastAsia="Times New Roman" w:hAnsi="Trebuchet MS" w:cs="Times New Roman"/>
          <w:color w:val="666666"/>
          <w:sz w:val="23"/>
          <w:szCs w:val="23"/>
          <w:shd w:val="clear" w:color="auto" w:fill="FFFFFF"/>
          <w:lang w:eastAsia="tr-TR"/>
        </w:rPr>
      </w:pPr>
      <w:r w:rsidRPr="00BD6649">
        <w:rPr>
          <w:rFonts w:ascii="Trebuchet MS" w:eastAsia="Times New Roman" w:hAnsi="Trebuchet MS" w:cs="Times New Roman"/>
          <w:color w:val="666666"/>
          <w:sz w:val="23"/>
          <w:szCs w:val="23"/>
          <w:shd w:val="clear" w:color="auto" w:fill="FFFFFF"/>
          <w:lang w:eastAsia="tr-TR"/>
        </w:rPr>
        <w:t>Konulu Uluslararası Anlaşmalar ve Avrupa Birliği</w:t>
      </w:r>
      <w:r>
        <w:rPr>
          <w:rFonts w:ascii="Trebuchet MS" w:eastAsia="Times New Roman" w:hAnsi="Trebuchet MS" w:cs="Times New Roman"/>
          <w:color w:val="666666"/>
          <w:sz w:val="23"/>
          <w:szCs w:val="23"/>
          <w:shd w:val="clear" w:color="auto" w:fill="FFFFFF"/>
          <w:lang w:eastAsia="tr-TR"/>
        </w:rPr>
        <w:t xml:space="preserve"> Genel Müdürlüğü yazısı aşağıdaki linktedir.</w:t>
      </w:r>
    </w:p>
    <w:p w:rsidR="00BD6649" w:rsidRDefault="00BD6649" w:rsidP="00E430D7">
      <w:pPr>
        <w:pStyle w:val="NormalWeb"/>
        <w:shd w:val="clear" w:color="auto" w:fill="FFFFFF"/>
        <w:spacing w:before="0" w:beforeAutospacing="0" w:after="160" w:afterAutospacing="0"/>
        <w:rPr>
          <w:rFonts w:ascii="Calibri" w:hAnsi="Calibri" w:cs="Calibri"/>
          <w:color w:val="666666"/>
          <w:sz w:val="22"/>
          <w:szCs w:val="22"/>
        </w:rPr>
      </w:pPr>
    </w:p>
    <w:p w:rsidR="00BD6649" w:rsidRDefault="00BD6649" w:rsidP="00E430D7">
      <w:pPr>
        <w:pStyle w:val="NormalWeb"/>
        <w:shd w:val="clear" w:color="auto" w:fill="FFFFFF"/>
        <w:spacing w:before="0" w:beforeAutospacing="0" w:after="160" w:afterAutospacing="0"/>
        <w:rPr>
          <w:rFonts w:ascii="Calibri" w:hAnsi="Calibri" w:cs="Calibri"/>
          <w:color w:val="666666"/>
          <w:sz w:val="22"/>
          <w:szCs w:val="22"/>
        </w:rPr>
      </w:pPr>
      <w:hyperlink r:id="rId48" w:history="1">
        <w:r w:rsidRPr="00D767F5">
          <w:rPr>
            <w:rStyle w:val="Kpr"/>
            <w:rFonts w:ascii="Calibri" w:hAnsi="Calibri" w:cs="Calibri"/>
            <w:sz w:val="22"/>
            <w:szCs w:val="22"/>
          </w:rPr>
          <w:t>http://www.lojiblog.com/services/viewer.php?data=16843</w:t>
        </w:r>
      </w:hyperlink>
    </w:p>
    <w:p w:rsidR="00BD6649" w:rsidRPr="00BD6649" w:rsidRDefault="00BD6649" w:rsidP="00BD6649">
      <w:pPr>
        <w:shd w:val="clear" w:color="auto" w:fill="FFFFFF"/>
        <w:spacing w:before="100" w:beforeAutospacing="1" w:after="100" w:afterAutospacing="1" w:line="240" w:lineRule="auto"/>
        <w:rPr>
          <w:rFonts w:ascii="Trebuchet MS" w:eastAsia="Times New Roman" w:hAnsi="Trebuchet MS" w:cs="Times New Roman"/>
          <w:color w:val="666666"/>
          <w:sz w:val="23"/>
          <w:szCs w:val="23"/>
          <w:shd w:val="clear" w:color="auto" w:fill="FFFFFF"/>
          <w:lang w:eastAsia="tr-TR"/>
        </w:rPr>
      </w:pPr>
      <w:r w:rsidRPr="00BD6649">
        <w:rPr>
          <w:rFonts w:ascii="Trebuchet MS" w:eastAsia="Times New Roman" w:hAnsi="Trebuchet MS" w:cs="Times New Roman"/>
          <w:b/>
          <w:color w:val="666666"/>
          <w:sz w:val="23"/>
          <w:szCs w:val="23"/>
          <w:shd w:val="clear" w:color="auto" w:fill="FFFFFF"/>
          <w:lang w:eastAsia="tr-TR"/>
        </w:rPr>
        <w:t>33----</w:t>
      </w:r>
      <w:r w:rsidRPr="00BD6649">
        <w:rPr>
          <w:rFonts w:ascii="Trebuchet MS" w:eastAsia="Times New Roman" w:hAnsi="Trebuchet MS" w:cs="Times New Roman"/>
          <w:color w:val="666666"/>
          <w:sz w:val="23"/>
          <w:szCs w:val="23"/>
          <w:shd w:val="clear" w:color="auto" w:fill="FFFFFF"/>
          <w:lang w:eastAsia="tr-TR"/>
        </w:rPr>
        <w:t>Rusya Menşeli 7005.29 tarife alt pozisyonunda yer alan düz camların ithalatında uygulanan anti-</w:t>
      </w:r>
      <w:proofErr w:type="gramStart"/>
      <w:r w:rsidRPr="00BD6649">
        <w:rPr>
          <w:rFonts w:ascii="Trebuchet MS" w:eastAsia="Times New Roman" w:hAnsi="Trebuchet MS" w:cs="Times New Roman"/>
          <w:color w:val="666666"/>
          <w:sz w:val="23"/>
          <w:szCs w:val="23"/>
          <w:shd w:val="clear" w:color="auto" w:fill="FFFFFF"/>
          <w:lang w:eastAsia="tr-TR"/>
        </w:rPr>
        <w:t>damping</w:t>
      </w:r>
      <w:proofErr w:type="gramEnd"/>
      <w:r w:rsidRPr="00BD6649">
        <w:rPr>
          <w:rFonts w:ascii="Trebuchet MS" w:eastAsia="Times New Roman" w:hAnsi="Trebuchet MS" w:cs="Times New Roman"/>
          <w:color w:val="666666"/>
          <w:sz w:val="23"/>
          <w:szCs w:val="23"/>
          <w:shd w:val="clear" w:color="auto" w:fill="FFFFFF"/>
          <w:lang w:eastAsia="tr-TR"/>
        </w:rPr>
        <w:t xml:space="preserve"> vergisinin devamı ile ilgili nihai bir gözden geçirme soruşturması a</w:t>
      </w:r>
      <w:r>
        <w:rPr>
          <w:rFonts w:ascii="Trebuchet MS" w:eastAsia="Times New Roman" w:hAnsi="Trebuchet MS" w:cs="Times New Roman"/>
          <w:color w:val="666666"/>
          <w:sz w:val="23"/>
          <w:szCs w:val="23"/>
          <w:shd w:val="clear" w:color="auto" w:fill="FFFFFF"/>
          <w:lang w:eastAsia="tr-TR"/>
        </w:rPr>
        <w:t>çılması hakkında tebliğ aşağıdaki linktedir.</w:t>
      </w:r>
      <w:bookmarkStart w:id="0" w:name="_GoBack"/>
      <w:bookmarkEnd w:id="0"/>
    </w:p>
    <w:p w:rsidR="00BD6649" w:rsidRDefault="00BD6649" w:rsidP="00E430D7">
      <w:pPr>
        <w:pStyle w:val="NormalWeb"/>
        <w:shd w:val="clear" w:color="auto" w:fill="FFFFFF"/>
        <w:spacing w:before="0" w:beforeAutospacing="0" w:after="160" w:afterAutospacing="0"/>
        <w:rPr>
          <w:rFonts w:ascii="Calibri" w:hAnsi="Calibri" w:cs="Calibri"/>
          <w:color w:val="666666"/>
          <w:sz w:val="22"/>
          <w:szCs w:val="22"/>
        </w:rPr>
      </w:pPr>
    </w:p>
    <w:p w:rsidR="003C0635" w:rsidRDefault="003C0635" w:rsidP="00E430D7">
      <w:pPr>
        <w:pStyle w:val="NormalWeb"/>
        <w:shd w:val="clear" w:color="auto" w:fill="FFFFFF"/>
        <w:spacing w:before="0" w:beforeAutospacing="0" w:after="160" w:afterAutospacing="0"/>
        <w:rPr>
          <w:rFonts w:ascii="Calibri" w:hAnsi="Calibri" w:cs="Calibri"/>
          <w:color w:val="666666"/>
          <w:sz w:val="22"/>
          <w:szCs w:val="22"/>
        </w:rPr>
      </w:pPr>
    </w:p>
    <w:p w:rsidR="00AC19F7" w:rsidRDefault="00AC19F7" w:rsidP="00E430D7">
      <w:pPr>
        <w:pStyle w:val="NormalWeb"/>
        <w:shd w:val="clear" w:color="auto" w:fill="FFFFFF"/>
        <w:spacing w:before="0" w:beforeAutospacing="0" w:after="160" w:afterAutospacing="0"/>
        <w:rPr>
          <w:rFonts w:ascii="Calibri" w:hAnsi="Calibri" w:cs="Calibri"/>
          <w:color w:val="666666"/>
          <w:sz w:val="22"/>
          <w:szCs w:val="22"/>
        </w:rPr>
      </w:pPr>
    </w:p>
    <w:p w:rsidR="00E430D7" w:rsidRDefault="00E430D7" w:rsidP="00E430D7">
      <w:pPr>
        <w:pStyle w:val="NormalWeb"/>
        <w:shd w:val="clear" w:color="auto" w:fill="FFFFFF"/>
        <w:spacing w:before="0" w:beforeAutospacing="0" w:after="160" w:afterAutospacing="0"/>
        <w:rPr>
          <w:rFonts w:ascii="Calibri" w:hAnsi="Calibri" w:cs="Calibri"/>
          <w:color w:val="666666"/>
          <w:sz w:val="22"/>
          <w:szCs w:val="22"/>
        </w:rPr>
      </w:pPr>
    </w:p>
    <w:p w:rsidR="00E430D7" w:rsidRPr="00E430D7" w:rsidRDefault="00E430D7" w:rsidP="00E430D7">
      <w:pPr>
        <w:rPr>
          <w:rFonts w:ascii="Trebuchet MS" w:hAnsi="Trebuchet MS"/>
          <w:color w:val="0563C1" w:themeColor="hyperlink"/>
        </w:rPr>
      </w:pPr>
      <w:r>
        <w:rPr>
          <w:rFonts w:ascii="Trebuchet MS" w:hAnsi="Trebuchet MS"/>
        </w:rPr>
        <w:t xml:space="preserve"> </w:t>
      </w:r>
      <w:hyperlink r:id="rId49" w:tgtFrame="_blank" w:history="1"/>
    </w:p>
    <w:p w:rsidR="00E430D7" w:rsidRDefault="00E430D7" w:rsidP="00E430D7">
      <w:pPr>
        <w:shd w:val="clear" w:color="auto" w:fill="FFFFFF"/>
        <w:spacing w:line="240" w:lineRule="auto"/>
        <w:jc w:val="both"/>
        <w:rPr>
          <w:rFonts w:ascii="Calibri" w:eastAsia="Times New Roman" w:hAnsi="Calibri" w:cs="Calibri"/>
          <w:color w:val="666666"/>
          <w:sz w:val="24"/>
          <w:szCs w:val="24"/>
          <w:lang w:eastAsia="tr-TR"/>
        </w:rPr>
      </w:pPr>
    </w:p>
    <w:tbl>
      <w:tblPr>
        <w:tblW w:w="5000" w:type="pct"/>
        <w:tblCellSpacing w:w="0" w:type="dxa"/>
        <w:tblCellMar>
          <w:left w:w="0" w:type="dxa"/>
          <w:right w:w="0" w:type="dxa"/>
        </w:tblCellMar>
        <w:tblLook w:val="04A0" w:firstRow="1" w:lastRow="0" w:firstColumn="1" w:lastColumn="0" w:noHBand="0" w:noVBand="1"/>
      </w:tblPr>
      <w:tblGrid>
        <w:gridCol w:w="9072"/>
      </w:tblGrid>
      <w:tr w:rsidR="00E430D7" w:rsidTr="00E430D7">
        <w:trPr>
          <w:tblCellSpacing w:w="0" w:type="dxa"/>
        </w:trPr>
        <w:tc>
          <w:tcPr>
            <w:tcW w:w="0" w:type="auto"/>
            <w:shd w:val="clear" w:color="auto" w:fill="F2F2F2"/>
            <w:hideMark/>
          </w:tcPr>
          <w:tbl>
            <w:tblPr>
              <w:tblW w:w="10500" w:type="dxa"/>
              <w:jc w:val="center"/>
              <w:tblCellSpacing w:w="0" w:type="dxa"/>
              <w:tblCellMar>
                <w:left w:w="0" w:type="dxa"/>
                <w:right w:w="0" w:type="dxa"/>
              </w:tblCellMar>
              <w:tblLook w:val="04A0" w:firstRow="1" w:lastRow="0" w:firstColumn="1" w:lastColumn="0" w:noHBand="0" w:noVBand="1"/>
            </w:tblPr>
            <w:tblGrid>
              <w:gridCol w:w="9072"/>
            </w:tblGrid>
            <w:tr w:rsidR="00E430D7">
              <w:trPr>
                <w:tblCellSpacing w:w="0" w:type="dxa"/>
                <w:jc w:val="center"/>
              </w:trPr>
              <w:tc>
                <w:tcPr>
                  <w:tcW w:w="0" w:type="auto"/>
                  <w:shd w:val="clear" w:color="auto" w:fill="F2F2F2"/>
                  <w:vAlign w:val="center"/>
                  <w:hideMark/>
                </w:tcPr>
                <w:tbl>
                  <w:tblPr>
                    <w:tblW w:w="10500" w:type="dxa"/>
                    <w:jc w:val="center"/>
                    <w:tblCellSpacing w:w="0" w:type="dxa"/>
                    <w:shd w:val="clear" w:color="auto" w:fill="F2F2F2"/>
                    <w:tblCellMar>
                      <w:left w:w="0" w:type="dxa"/>
                      <w:right w:w="0" w:type="dxa"/>
                    </w:tblCellMar>
                    <w:tblLook w:val="04A0" w:firstRow="1" w:lastRow="0" w:firstColumn="1" w:lastColumn="0" w:noHBand="0" w:noVBand="1"/>
                  </w:tblPr>
                  <w:tblGrid>
                    <w:gridCol w:w="10487"/>
                    <w:gridCol w:w="13"/>
                  </w:tblGrid>
                  <w:tr w:rsidR="00E430D7">
                    <w:trPr>
                      <w:tblCellSpacing w:w="0" w:type="dxa"/>
                      <w:jc w:val="center"/>
                    </w:trPr>
                    <w:tc>
                      <w:tcPr>
                        <w:tcW w:w="0" w:type="auto"/>
                        <w:shd w:val="clear" w:color="auto" w:fill="FFFFFF"/>
                        <w:tcMar>
                          <w:top w:w="0" w:type="dxa"/>
                          <w:left w:w="0" w:type="dxa"/>
                          <w:bottom w:w="135" w:type="dxa"/>
                          <w:right w:w="0" w:type="dxa"/>
                        </w:tcMar>
                        <w:hideMark/>
                      </w:tcPr>
                      <w:tbl>
                        <w:tblPr>
                          <w:tblW w:w="10470" w:type="dxa"/>
                          <w:jc w:val="center"/>
                          <w:tblCellSpacing w:w="0" w:type="dxa"/>
                          <w:shd w:val="clear" w:color="auto" w:fill="FFFFFF"/>
                          <w:tblCellMar>
                            <w:left w:w="0" w:type="dxa"/>
                            <w:right w:w="0" w:type="dxa"/>
                          </w:tblCellMar>
                          <w:tblLook w:val="04A0" w:firstRow="1" w:lastRow="0" w:firstColumn="1" w:lastColumn="0" w:noHBand="0" w:noVBand="1"/>
                        </w:tblPr>
                        <w:tblGrid>
                          <w:gridCol w:w="10470"/>
                        </w:tblGrid>
                        <w:tr w:rsidR="00E430D7">
                          <w:trPr>
                            <w:tblCellSpacing w:w="0" w:type="dxa"/>
                            <w:jc w:val="center"/>
                          </w:trPr>
                          <w:tc>
                            <w:tcPr>
                              <w:tcW w:w="9600" w:type="dxa"/>
                              <w:shd w:val="clear" w:color="auto" w:fill="FFFFFF"/>
                              <w:vAlign w:val="center"/>
                              <w:hideMark/>
                            </w:tcPr>
                            <w:tbl>
                              <w:tblPr>
                                <w:tblW w:w="10470" w:type="dxa"/>
                                <w:jc w:val="center"/>
                                <w:tblCellSpacing w:w="0" w:type="dxa"/>
                                <w:shd w:val="clear" w:color="auto" w:fill="FFFFFF"/>
                                <w:tblCellMar>
                                  <w:left w:w="0" w:type="dxa"/>
                                  <w:right w:w="0" w:type="dxa"/>
                                </w:tblCellMar>
                                <w:tblLook w:val="04A0" w:firstRow="1" w:lastRow="0" w:firstColumn="1" w:lastColumn="0" w:noHBand="0" w:noVBand="1"/>
                              </w:tblPr>
                              <w:tblGrid>
                                <w:gridCol w:w="10033"/>
                                <w:gridCol w:w="437"/>
                              </w:tblGrid>
                              <w:tr w:rsidR="00E430D7">
                                <w:trPr>
                                  <w:tblCellSpacing w:w="0" w:type="dxa"/>
                                  <w:jc w:val="center"/>
                                </w:trPr>
                                <w:tc>
                                  <w:tcPr>
                                    <w:tcW w:w="0" w:type="auto"/>
                                    <w:shd w:val="clear" w:color="auto" w:fill="FFFFFF"/>
                                    <w:tcMar>
                                      <w:top w:w="750" w:type="dxa"/>
                                      <w:left w:w="0" w:type="dxa"/>
                                      <w:bottom w:w="450" w:type="dxa"/>
                                      <w:right w:w="0" w:type="dxa"/>
                                    </w:tcMar>
                                    <w:vAlign w:val="center"/>
                                    <w:hideMark/>
                                  </w:tcPr>
                                  <w:p w:rsidR="00E430D7" w:rsidRDefault="00E430D7">
                                    <w:pPr>
                                      <w:spacing w:line="240" w:lineRule="auto"/>
                                      <w:rPr>
                                        <w:rFonts w:ascii="Trebuchet MS" w:hAnsi="Trebuchet MS"/>
                                        <w:color w:val="666666"/>
                                        <w:sz w:val="20"/>
                                        <w:szCs w:val="20"/>
                                      </w:rPr>
                                    </w:pPr>
                                  </w:p>
                                </w:tc>
                                <w:tc>
                                  <w:tcPr>
                                    <w:tcW w:w="435" w:type="dxa"/>
                                    <w:shd w:val="clear" w:color="auto" w:fill="FFFFFF"/>
                                    <w:vAlign w:val="center"/>
                                    <w:hideMark/>
                                  </w:tcPr>
                                  <w:p w:rsidR="00E430D7" w:rsidRDefault="00E430D7">
                                    <w:pPr>
                                      <w:rPr>
                                        <w:rFonts w:ascii="Trebuchet MS" w:hAnsi="Trebuchet MS"/>
                                        <w:color w:val="666666"/>
                                        <w:sz w:val="20"/>
                                        <w:szCs w:val="20"/>
                                      </w:rPr>
                                    </w:pPr>
                                    <w:r>
                                      <w:rPr>
                                        <w:rFonts w:ascii="Trebuchet MS" w:hAnsi="Trebuchet MS"/>
                                        <w:noProof/>
                                        <w:color w:val="666666"/>
                                        <w:sz w:val="20"/>
                                        <w:szCs w:val="20"/>
                                        <w:lang w:eastAsia="tr-TR"/>
                                      </w:rPr>
                                      <w:drawing>
                                        <wp:inline distT="0" distB="0" distL="0" distR="0">
                                          <wp:extent cx="276225" cy="9525"/>
                                          <wp:effectExtent l="0" t="0" r="0" b="0"/>
                                          <wp:docPr id="9" name="Resim 9" descr="https://www.assetoptimus.com/documents/images/robot/spacer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assetoptimus.com/documents/images/robot/spacer10.gif"/>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76225" cy="9525"/>
                                                  </a:xfrm>
                                                  <a:prstGeom prst="rect">
                                                    <a:avLst/>
                                                  </a:prstGeom>
                                                  <a:noFill/>
                                                  <a:ln>
                                                    <a:noFill/>
                                                  </a:ln>
                                                </pic:spPr>
                                              </pic:pic>
                                            </a:graphicData>
                                          </a:graphic>
                                        </wp:inline>
                                      </w:drawing>
                                    </w:r>
                                  </w:p>
                                </w:tc>
                              </w:tr>
                            </w:tbl>
                            <w:p w:rsidR="00E430D7" w:rsidRDefault="00E430D7">
                              <w:pPr>
                                <w:rPr>
                                  <w:rFonts w:ascii="Times New Roman" w:hAnsi="Times New Roman"/>
                                  <w:sz w:val="24"/>
                                  <w:szCs w:val="24"/>
                                </w:rPr>
                              </w:pPr>
                            </w:p>
                          </w:tc>
                        </w:tr>
                      </w:tbl>
                      <w:p w:rsidR="00E430D7" w:rsidRDefault="00E430D7">
                        <w:pPr>
                          <w:rPr>
                            <w:rFonts w:ascii="Trebuchet MS" w:hAnsi="Trebuchet MS"/>
                            <w:color w:val="666666"/>
                            <w:sz w:val="20"/>
                            <w:szCs w:val="20"/>
                          </w:rPr>
                        </w:pPr>
                      </w:p>
                    </w:tc>
                    <w:tc>
                      <w:tcPr>
                        <w:tcW w:w="0" w:type="auto"/>
                        <w:shd w:val="clear" w:color="auto" w:fill="E3E3E3"/>
                        <w:vAlign w:val="center"/>
                        <w:hideMark/>
                      </w:tcPr>
                      <w:p w:rsidR="00E430D7" w:rsidRDefault="00E430D7">
                        <w:pPr>
                          <w:rPr>
                            <w:sz w:val="24"/>
                            <w:szCs w:val="24"/>
                          </w:rPr>
                        </w:pPr>
                        <w:r>
                          <w:rPr>
                            <w:noProof/>
                            <w:lang w:eastAsia="tr-TR"/>
                          </w:rPr>
                          <w:drawing>
                            <wp:inline distT="0" distB="0" distL="0" distR="0">
                              <wp:extent cx="9525" cy="9525"/>
                              <wp:effectExtent l="0" t="0" r="0" b="0"/>
                              <wp:docPr id="8" name="Resim 8" descr="https://www.assetoptimus.com/documents/images/robot/spacer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assetoptimus.com/documents/images/robot/spacer10.gif"/>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E430D7" w:rsidRDefault="00E430D7"/>
              </w:tc>
            </w:tr>
            <w:tr w:rsidR="00E430D7">
              <w:trPr>
                <w:tblCellSpacing w:w="0" w:type="dxa"/>
                <w:jc w:val="center"/>
              </w:trPr>
              <w:tc>
                <w:tcPr>
                  <w:tcW w:w="0" w:type="auto"/>
                  <w:vAlign w:val="center"/>
                  <w:hideMark/>
                </w:tcPr>
                <w:tbl>
                  <w:tblPr>
                    <w:tblW w:w="10500" w:type="dxa"/>
                    <w:jc w:val="center"/>
                    <w:tblCellSpacing w:w="0" w:type="dxa"/>
                    <w:tblCellMar>
                      <w:left w:w="0" w:type="dxa"/>
                      <w:right w:w="0" w:type="dxa"/>
                    </w:tblCellMar>
                    <w:tblLook w:val="04A0" w:firstRow="1" w:lastRow="0" w:firstColumn="1" w:lastColumn="0" w:noHBand="0" w:noVBand="1"/>
                  </w:tblPr>
                  <w:tblGrid>
                    <w:gridCol w:w="13"/>
                    <w:gridCol w:w="44"/>
                    <w:gridCol w:w="4681"/>
                    <w:gridCol w:w="2403"/>
                    <w:gridCol w:w="3302"/>
                    <w:gridCol w:w="44"/>
                    <w:gridCol w:w="13"/>
                  </w:tblGrid>
                  <w:tr w:rsidR="00E430D7">
                    <w:trPr>
                      <w:tblCellSpacing w:w="0" w:type="dxa"/>
                      <w:jc w:val="center"/>
                    </w:trPr>
                    <w:tc>
                      <w:tcPr>
                        <w:tcW w:w="0" w:type="auto"/>
                        <w:vAlign w:val="center"/>
                        <w:hideMark/>
                      </w:tcPr>
                      <w:p w:rsidR="00E430D7" w:rsidRDefault="00E430D7">
                        <w:pPr>
                          <w:rPr>
                            <w:sz w:val="24"/>
                            <w:szCs w:val="24"/>
                          </w:rPr>
                        </w:pPr>
                        <w:r>
                          <w:rPr>
                            <w:noProof/>
                            <w:lang w:eastAsia="tr-TR"/>
                          </w:rPr>
                          <w:drawing>
                            <wp:inline distT="0" distB="0" distL="0" distR="0">
                              <wp:extent cx="9525" cy="190500"/>
                              <wp:effectExtent l="0" t="0" r="9525" b="0"/>
                              <wp:docPr id="7" name="Resim 7" descr="https://www.assetoptimus.com/documents/images/robot/template_bot_left_1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assetoptimus.com/documents/images/robot/template_bot_left_1px.jp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9525" cy="190500"/>
                                      </a:xfrm>
                                      <a:prstGeom prst="rect">
                                        <a:avLst/>
                                      </a:prstGeom>
                                      <a:noFill/>
                                      <a:ln>
                                        <a:noFill/>
                                      </a:ln>
                                    </pic:spPr>
                                  </pic:pic>
                                </a:graphicData>
                              </a:graphic>
                            </wp:inline>
                          </w:drawing>
                        </w:r>
                      </w:p>
                    </w:tc>
                    <w:tc>
                      <w:tcPr>
                        <w:tcW w:w="0" w:type="auto"/>
                        <w:vAlign w:val="center"/>
                        <w:hideMark/>
                      </w:tcPr>
                      <w:p w:rsidR="00E430D7" w:rsidRDefault="00E430D7">
                        <w:r>
                          <w:rPr>
                            <w:noProof/>
                            <w:lang w:eastAsia="tr-TR"/>
                          </w:rPr>
                          <w:drawing>
                            <wp:inline distT="0" distB="0" distL="0" distR="0">
                              <wp:extent cx="28575" cy="190500"/>
                              <wp:effectExtent l="0" t="0" r="9525" b="0"/>
                              <wp:docPr id="6" name="Resim 6" descr="https://www.assetoptimus.com/documents/images/robot/template_bot_left_3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assetoptimus.com/documents/images/robot/template_bot_left_3px.jpg"/>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8575" cy="190500"/>
                                      </a:xfrm>
                                      <a:prstGeom prst="rect">
                                        <a:avLst/>
                                      </a:prstGeom>
                                      <a:noFill/>
                                      <a:ln>
                                        <a:noFill/>
                                      </a:ln>
                                    </pic:spPr>
                                  </pic:pic>
                                </a:graphicData>
                              </a:graphic>
                            </wp:inline>
                          </w:drawing>
                        </w:r>
                      </w:p>
                    </w:tc>
                    <w:tc>
                      <w:tcPr>
                        <w:tcW w:w="0" w:type="auto"/>
                        <w:vAlign w:val="center"/>
                        <w:hideMark/>
                      </w:tcPr>
                      <w:p w:rsidR="00E430D7" w:rsidRDefault="00E430D7">
                        <w:r>
                          <w:rPr>
                            <w:noProof/>
                            <w:lang w:eastAsia="tr-TR"/>
                          </w:rPr>
                          <w:drawing>
                            <wp:inline distT="0" distB="0" distL="0" distR="0">
                              <wp:extent cx="2971800" cy="190500"/>
                              <wp:effectExtent l="0" t="0" r="0" b="0"/>
                              <wp:docPr id="5" name="Resim 5" descr="https://www.assetoptimus.com/documents/images/robot/template_bot_312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assetoptimus.com/documents/images/robot/template_bot_312px.jpg"/>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971800" cy="190500"/>
                                      </a:xfrm>
                                      <a:prstGeom prst="rect">
                                        <a:avLst/>
                                      </a:prstGeom>
                                      <a:noFill/>
                                      <a:ln>
                                        <a:noFill/>
                                      </a:ln>
                                    </pic:spPr>
                                  </pic:pic>
                                </a:graphicData>
                              </a:graphic>
                            </wp:inline>
                          </w:drawing>
                        </w:r>
                      </w:p>
                    </w:tc>
                    <w:tc>
                      <w:tcPr>
                        <w:tcW w:w="0" w:type="auto"/>
                        <w:vAlign w:val="center"/>
                        <w:hideMark/>
                      </w:tcPr>
                      <w:p w:rsidR="00E430D7" w:rsidRDefault="00E430D7">
                        <w:r>
                          <w:rPr>
                            <w:noProof/>
                            <w:lang w:eastAsia="tr-TR"/>
                          </w:rPr>
                          <w:drawing>
                            <wp:inline distT="0" distB="0" distL="0" distR="0">
                              <wp:extent cx="1524000" cy="190500"/>
                              <wp:effectExtent l="0" t="0" r="0" b="0"/>
                              <wp:docPr id="4" name="Resim 4" descr="https://www.assetoptimus.com/documents/images/robot/template_bot_160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assetoptimus.com/documents/images/robot/template_bot_160px.jpg"/>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524000" cy="190500"/>
                                      </a:xfrm>
                                      <a:prstGeom prst="rect">
                                        <a:avLst/>
                                      </a:prstGeom>
                                      <a:noFill/>
                                      <a:ln>
                                        <a:noFill/>
                                      </a:ln>
                                    </pic:spPr>
                                  </pic:pic>
                                </a:graphicData>
                              </a:graphic>
                            </wp:inline>
                          </w:drawing>
                        </w:r>
                      </w:p>
                    </w:tc>
                    <w:tc>
                      <w:tcPr>
                        <w:tcW w:w="0" w:type="auto"/>
                        <w:vAlign w:val="center"/>
                        <w:hideMark/>
                      </w:tcPr>
                      <w:p w:rsidR="00E430D7" w:rsidRDefault="00E430D7">
                        <w:r>
                          <w:rPr>
                            <w:noProof/>
                            <w:lang w:eastAsia="tr-TR"/>
                          </w:rPr>
                          <w:drawing>
                            <wp:inline distT="0" distB="0" distL="0" distR="0">
                              <wp:extent cx="2095500" cy="190500"/>
                              <wp:effectExtent l="0" t="0" r="0" b="0"/>
                              <wp:docPr id="3" name="Resim 3" descr="https://www.assetoptimus.com/documents/images/robot/template_bot_220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assetoptimus.com/documents/images/robot/template_bot_220px.jpg"/>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095500" cy="190500"/>
                                      </a:xfrm>
                                      <a:prstGeom prst="rect">
                                        <a:avLst/>
                                      </a:prstGeom>
                                      <a:noFill/>
                                      <a:ln>
                                        <a:noFill/>
                                      </a:ln>
                                    </pic:spPr>
                                  </pic:pic>
                                </a:graphicData>
                              </a:graphic>
                            </wp:inline>
                          </w:drawing>
                        </w:r>
                      </w:p>
                    </w:tc>
                    <w:tc>
                      <w:tcPr>
                        <w:tcW w:w="0" w:type="auto"/>
                        <w:vAlign w:val="center"/>
                        <w:hideMark/>
                      </w:tcPr>
                      <w:p w:rsidR="00E430D7" w:rsidRDefault="00E430D7">
                        <w:r>
                          <w:rPr>
                            <w:noProof/>
                            <w:lang w:eastAsia="tr-TR"/>
                          </w:rPr>
                          <w:drawing>
                            <wp:inline distT="0" distB="0" distL="0" distR="0">
                              <wp:extent cx="28575" cy="190500"/>
                              <wp:effectExtent l="0" t="0" r="9525" b="0"/>
                              <wp:docPr id="2" name="Resim 2" descr="https://www.assetoptimus.com/documents/images/robot/template_bot_right_3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www.assetoptimus.com/documents/images/robot/template_bot_right_3px.jpg"/>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8575" cy="190500"/>
                                      </a:xfrm>
                                      <a:prstGeom prst="rect">
                                        <a:avLst/>
                                      </a:prstGeom>
                                      <a:noFill/>
                                      <a:ln>
                                        <a:noFill/>
                                      </a:ln>
                                    </pic:spPr>
                                  </pic:pic>
                                </a:graphicData>
                              </a:graphic>
                            </wp:inline>
                          </w:drawing>
                        </w:r>
                      </w:p>
                    </w:tc>
                    <w:tc>
                      <w:tcPr>
                        <w:tcW w:w="0" w:type="auto"/>
                        <w:vAlign w:val="center"/>
                        <w:hideMark/>
                      </w:tcPr>
                      <w:p w:rsidR="00E430D7" w:rsidRDefault="00E430D7">
                        <w:r>
                          <w:rPr>
                            <w:noProof/>
                            <w:lang w:eastAsia="tr-TR"/>
                          </w:rPr>
                          <w:drawing>
                            <wp:inline distT="0" distB="0" distL="0" distR="0">
                              <wp:extent cx="9525" cy="190500"/>
                              <wp:effectExtent l="0" t="0" r="9525" b="0"/>
                              <wp:docPr id="1" name="Resim 1" descr="https://www.assetoptimus.com/documents/images/robot/template_bot_right_1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www.assetoptimus.com/documents/images/robot/template_bot_right_1px.jpg"/>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9525" cy="190500"/>
                                      </a:xfrm>
                                      <a:prstGeom prst="rect">
                                        <a:avLst/>
                                      </a:prstGeom>
                                      <a:noFill/>
                                      <a:ln>
                                        <a:noFill/>
                                      </a:ln>
                                    </pic:spPr>
                                  </pic:pic>
                                </a:graphicData>
                              </a:graphic>
                            </wp:inline>
                          </w:drawing>
                        </w:r>
                      </w:p>
                    </w:tc>
                  </w:tr>
                </w:tbl>
                <w:p w:rsidR="00E430D7" w:rsidRDefault="00E430D7"/>
              </w:tc>
            </w:tr>
            <w:tr w:rsidR="00E430D7">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072"/>
                  </w:tblGrid>
                  <w:tr w:rsidR="00E430D7">
                    <w:trPr>
                      <w:tblCellSpacing w:w="0" w:type="dxa"/>
                    </w:trPr>
                    <w:tc>
                      <w:tcPr>
                        <w:tcW w:w="0" w:type="auto"/>
                        <w:tcMar>
                          <w:top w:w="285" w:type="dxa"/>
                          <w:left w:w="435" w:type="dxa"/>
                          <w:bottom w:w="285" w:type="dxa"/>
                          <w:right w:w="435" w:type="dxa"/>
                        </w:tcMar>
                        <w:vAlign w:val="center"/>
                        <w:hideMark/>
                      </w:tcPr>
                      <w:p w:rsidR="00E430D7" w:rsidRDefault="00E430D7">
                        <w:pPr>
                          <w:spacing w:line="285" w:lineRule="atLeast"/>
                          <w:rPr>
                            <w:rFonts w:ascii="Trebuchet MS" w:hAnsi="Trebuchet MS"/>
                            <w:color w:val="8C8C8C"/>
                            <w:sz w:val="17"/>
                            <w:szCs w:val="17"/>
                          </w:rPr>
                        </w:pPr>
                        <w:r>
                          <w:rPr>
                            <w:rFonts w:ascii="Trebuchet MS" w:hAnsi="Trebuchet MS"/>
                            <w:color w:val="8C8C8C"/>
                            <w:sz w:val="17"/>
                            <w:szCs w:val="17"/>
                          </w:rPr>
                          <w:t>.</w:t>
                        </w:r>
                      </w:p>
                    </w:tc>
                  </w:tr>
                </w:tbl>
                <w:p w:rsidR="00E430D7" w:rsidRDefault="00E430D7">
                  <w:pPr>
                    <w:spacing w:line="240" w:lineRule="auto"/>
                    <w:rPr>
                      <w:rFonts w:ascii="Trebuchet MS" w:hAnsi="Trebuchet MS"/>
                      <w:color w:val="666666"/>
                      <w:sz w:val="17"/>
                      <w:szCs w:val="17"/>
                    </w:rPr>
                  </w:pPr>
                </w:p>
              </w:tc>
            </w:tr>
          </w:tbl>
          <w:p w:rsidR="00E430D7" w:rsidRDefault="00E430D7">
            <w:pPr>
              <w:jc w:val="center"/>
              <w:rPr>
                <w:sz w:val="24"/>
                <w:szCs w:val="24"/>
              </w:rPr>
            </w:pPr>
          </w:p>
        </w:tc>
      </w:tr>
    </w:tbl>
    <w:p w:rsidR="00E430D7" w:rsidRDefault="00E430D7" w:rsidP="00E430D7">
      <w:pPr>
        <w:rPr>
          <w:rStyle w:val="Kpr"/>
          <w:rFonts w:ascii="Trebuchet MS" w:hAnsi="Trebuchet MS"/>
          <w:u w:val="none"/>
        </w:rPr>
      </w:pPr>
      <w:r>
        <w:rPr>
          <w:rFonts w:ascii="Trebuchet MS" w:hAnsi="Trebuchet MS"/>
        </w:rPr>
        <w:fldChar w:fldCharType="begin"/>
      </w:r>
      <w:r>
        <w:rPr>
          <w:rFonts w:ascii="Trebuchet MS" w:hAnsi="Trebuchet MS"/>
        </w:rPr>
        <w:instrText xml:space="preserve"> HYPERLINK "http://www.lojiblog.com/assets/docs/Otomobil_Ithalati_OTV_Matrah_Araliginda_Degisiklik.pdf" \t "_blank" </w:instrText>
      </w:r>
      <w:r>
        <w:rPr>
          <w:rFonts w:ascii="Trebuchet MS" w:hAnsi="Trebuchet MS"/>
        </w:rPr>
        <w:fldChar w:fldCharType="separate"/>
      </w:r>
    </w:p>
    <w:p w:rsidR="00E430D7" w:rsidRDefault="00E430D7" w:rsidP="00E430D7">
      <w:pPr>
        <w:rPr>
          <w:rFonts w:ascii="Trebuchet MS" w:hAnsi="Trebuchet MS"/>
        </w:rPr>
      </w:pPr>
      <w:r>
        <w:rPr>
          <w:rFonts w:ascii="Trebuchet MS" w:hAnsi="Trebuchet MS"/>
        </w:rPr>
        <w:fldChar w:fldCharType="end"/>
      </w:r>
    </w:p>
    <w:p w:rsidR="00E430D7" w:rsidRPr="00E430D7" w:rsidRDefault="00E430D7" w:rsidP="00E430D7">
      <w:pPr>
        <w:shd w:val="clear" w:color="auto" w:fill="FFFFFF"/>
        <w:spacing w:line="240" w:lineRule="auto"/>
        <w:jc w:val="both"/>
        <w:rPr>
          <w:rFonts w:ascii="Calibri" w:eastAsia="Times New Roman" w:hAnsi="Calibri" w:cs="Calibri"/>
          <w:color w:val="666666"/>
          <w:lang w:eastAsia="tr-TR"/>
        </w:rPr>
      </w:pPr>
    </w:p>
    <w:p w:rsidR="00E430D7" w:rsidRDefault="00E430D7"/>
    <w:p w:rsidR="00490F8A" w:rsidRDefault="00490F8A"/>
    <w:p w:rsidR="00F83D79" w:rsidRDefault="00F83D79"/>
    <w:sectPr w:rsidR="00F83D7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rebuchet MS">
    <w:panose1 w:val="020B0603020202020204"/>
    <w:charset w:val="A2"/>
    <w:family w:val="swiss"/>
    <w:pitch w:val="variable"/>
    <w:sig w:usb0="00000687" w:usb1="00000000" w:usb2="00000000" w:usb3="00000000" w:csb0="0000009F" w:csb1="00000000"/>
  </w:font>
  <w:font w:name="Verdana">
    <w:panose1 w:val="020B0604030504040204"/>
    <w:charset w:val="A2"/>
    <w:family w:val="swiss"/>
    <w:pitch w:val="variable"/>
    <w:sig w:usb0="A00006FF" w:usb1="4000205B" w:usb2="0000001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F18"/>
    <w:rsid w:val="000010A8"/>
    <w:rsid w:val="00015873"/>
    <w:rsid w:val="00064D40"/>
    <w:rsid w:val="00113234"/>
    <w:rsid w:val="00183A53"/>
    <w:rsid w:val="00205779"/>
    <w:rsid w:val="003C0635"/>
    <w:rsid w:val="003C0E79"/>
    <w:rsid w:val="00490F8A"/>
    <w:rsid w:val="004F10F0"/>
    <w:rsid w:val="0083065C"/>
    <w:rsid w:val="00874F18"/>
    <w:rsid w:val="00AC19F7"/>
    <w:rsid w:val="00BD6649"/>
    <w:rsid w:val="00D619D8"/>
    <w:rsid w:val="00E430D7"/>
    <w:rsid w:val="00F33413"/>
    <w:rsid w:val="00F83D7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365CA1"/>
  <w15:chartTrackingRefBased/>
  <w15:docId w15:val="{00C5EE98-0C02-47A6-8926-B6925518D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5">
    <w:name w:val="heading 5"/>
    <w:basedOn w:val="Normal"/>
    <w:link w:val="Balk5Char"/>
    <w:uiPriority w:val="9"/>
    <w:qFormat/>
    <w:rsid w:val="00E430D7"/>
    <w:pPr>
      <w:spacing w:before="100" w:beforeAutospacing="1" w:after="100" w:afterAutospacing="1" w:line="240" w:lineRule="auto"/>
      <w:outlineLvl w:val="4"/>
    </w:pPr>
    <w:rPr>
      <w:rFonts w:ascii="Times New Roman" w:eastAsia="Times New Roman" w:hAnsi="Times New Roman" w:cs="Times New Roman"/>
      <w:b/>
      <w:bCs/>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183A5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183A53"/>
    <w:rPr>
      <w:color w:val="0563C1" w:themeColor="hyperlink"/>
      <w:u w:val="single"/>
    </w:rPr>
  </w:style>
  <w:style w:type="character" w:styleId="Gl">
    <w:name w:val="Strong"/>
    <w:basedOn w:val="VarsaylanParagrafYazTipi"/>
    <w:uiPriority w:val="22"/>
    <w:qFormat/>
    <w:rsid w:val="00F83D79"/>
    <w:rPr>
      <w:b/>
      <w:bCs/>
    </w:rPr>
  </w:style>
  <w:style w:type="character" w:customStyle="1" w:styleId="grame">
    <w:name w:val="grame"/>
    <w:basedOn w:val="VarsaylanParagrafYazTipi"/>
    <w:rsid w:val="00F83D79"/>
  </w:style>
  <w:style w:type="character" w:customStyle="1" w:styleId="spelle">
    <w:name w:val="spelle"/>
    <w:basedOn w:val="VarsaylanParagrafYazTipi"/>
    <w:rsid w:val="00F83D79"/>
  </w:style>
  <w:style w:type="character" w:styleId="zlenenKpr">
    <w:name w:val="FollowedHyperlink"/>
    <w:basedOn w:val="VarsaylanParagrafYazTipi"/>
    <w:uiPriority w:val="99"/>
    <w:semiHidden/>
    <w:unhideWhenUsed/>
    <w:rsid w:val="00490F8A"/>
    <w:rPr>
      <w:color w:val="954F72" w:themeColor="followedHyperlink"/>
      <w:u w:val="single"/>
    </w:rPr>
  </w:style>
  <w:style w:type="paragraph" w:customStyle="1" w:styleId="default">
    <w:name w:val="default"/>
    <w:basedOn w:val="Normal"/>
    <w:rsid w:val="00490F8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Balk5Char">
    <w:name w:val="Başlık 5 Char"/>
    <w:basedOn w:val="VarsaylanParagrafYazTipi"/>
    <w:link w:val="Balk5"/>
    <w:uiPriority w:val="9"/>
    <w:rsid w:val="00E430D7"/>
    <w:rPr>
      <w:rFonts w:ascii="Times New Roman" w:eastAsia="Times New Roman" w:hAnsi="Times New Roman" w:cs="Times New Roman"/>
      <w:b/>
      <w:bCs/>
      <w:sz w:val="20"/>
      <w:szCs w:val="20"/>
      <w:lang w:eastAsia="tr-TR"/>
    </w:rPr>
  </w:style>
  <w:style w:type="character" w:styleId="Vurgu">
    <w:name w:val="Emphasis"/>
    <w:basedOn w:val="VarsaylanParagrafYazTipi"/>
    <w:uiPriority w:val="20"/>
    <w:qFormat/>
    <w:rsid w:val="00E430D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260047">
      <w:bodyDiv w:val="1"/>
      <w:marLeft w:val="0"/>
      <w:marRight w:val="0"/>
      <w:marTop w:val="0"/>
      <w:marBottom w:val="0"/>
      <w:divBdr>
        <w:top w:val="none" w:sz="0" w:space="0" w:color="auto"/>
        <w:left w:val="none" w:sz="0" w:space="0" w:color="auto"/>
        <w:bottom w:val="none" w:sz="0" w:space="0" w:color="auto"/>
        <w:right w:val="none" w:sz="0" w:space="0" w:color="auto"/>
      </w:divBdr>
    </w:div>
    <w:div w:id="153689572">
      <w:bodyDiv w:val="1"/>
      <w:marLeft w:val="0"/>
      <w:marRight w:val="0"/>
      <w:marTop w:val="0"/>
      <w:marBottom w:val="0"/>
      <w:divBdr>
        <w:top w:val="none" w:sz="0" w:space="0" w:color="auto"/>
        <w:left w:val="none" w:sz="0" w:space="0" w:color="auto"/>
        <w:bottom w:val="none" w:sz="0" w:space="0" w:color="auto"/>
        <w:right w:val="none" w:sz="0" w:space="0" w:color="auto"/>
      </w:divBdr>
    </w:div>
    <w:div w:id="302203090">
      <w:bodyDiv w:val="1"/>
      <w:marLeft w:val="0"/>
      <w:marRight w:val="0"/>
      <w:marTop w:val="0"/>
      <w:marBottom w:val="0"/>
      <w:divBdr>
        <w:top w:val="none" w:sz="0" w:space="0" w:color="auto"/>
        <w:left w:val="none" w:sz="0" w:space="0" w:color="auto"/>
        <w:bottom w:val="none" w:sz="0" w:space="0" w:color="auto"/>
        <w:right w:val="none" w:sz="0" w:space="0" w:color="auto"/>
      </w:divBdr>
    </w:div>
    <w:div w:id="436825853">
      <w:bodyDiv w:val="1"/>
      <w:marLeft w:val="0"/>
      <w:marRight w:val="0"/>
      <w:marTop w:val="0"/>
      <w:marBottom w:val="0"/>
      <w:divBdr>
        <w:top w:val="none" w:sz="0" w:space="0" w:color="auto"/>
        <w:left w:val="none" w:sz="0" w:space="0" w:color="auto"/>
        <w:bottom w:val="none" w:sz="0" w:space="0" w:color="auto"/>
        <w:right w:val="none" w:sz="0" w:space="0" w:color="auto"/>
      </w:divBdr>
    </w:div>
    <w:div w:id="576208171">
      <w:bodyDiv w:val="1"/>
      <w:marLeft w:val="0"/>
      <w:marRight w:val="0"/>
      <w:marTop w:val="0"/>
      <w:marBottom w:val="0"/>
      <w:divBdr>
        <w:top w:val="none" w:sz="0" w:space="0" w:color="auto"/>
        <w:left w:val="none" w:sz="0" w:space="0" w:color="auto"/>
        <w:bottom w:val="none" w:sz="0" w:space="0" w:color="auto"/>
        <w:right w:val="none" w:sz="0" w:space="0" w:color="auto"/>
      </w:divBdr>
    </w:div>
    <w:div w:id="796801821">
      <w:bodyDiv w:val="1"/>
      <w:marLeft w:val="0"/>
      <w:marRight w:val="0"/>
      <w:marTop w:val="0"/>
      <w:marBottom w:val="0"/>
      <w:divBdr>
        <w:top w:val="none" w:sz="0" w:space="0" w:color="auto"/>
        <w:left w:val="none" w:sz="0" w:space="0" w:color="auto"/>
        <w:bottom w:val="none" w:sz="0" w:space="0" w:color="auto"/>
        <w:right w:val="none" w:sz="0" w:space="0" w:color="auto"/>
      </w:divBdr>
    </w:div>
    <w:div w:id="873923992">
      <w:bodyDiv w:val="1"/>
      <w:marLeft w:val="0"/>
      <w:marRight w:val="0"/>
      <w:marTop w:val="0"/>
      <w:marBottom w:val="0"/>
      <w:divBdr>
        <w:top w:val="none" w:sz="0" w:space="0" w:color="auto"/>
        <w:left w:val="none" w:sz="0" w:space="0" w:color="auto"/>
        <w:bottom w:val="none" w:sz="0" w:space="0" w:color="auto"/>
        <w:right w:val="none" w:sz="0" w:space="0" w:color="auto"/>
      </w:divBdr>
      <w:divsChild>
        <w:div w:id="1536965564">
          <w:marLeft w:val="0"/>
          <w:marRight w:val="0"/>
          <w:marTop w:val="0"/>
          <w:marBottom w:val="0"/>
          <w:divBdr>
            <w:top w:val="none" w:sz="0" w:space="0" w:color="auto"/>
            <w:left w:val="none" w:sz="0" w:space="0" w:color="auto"/>
            <w:bottom w:val="none" w:sz="0" w:space="0" w:color="auto"/>
            <w:right w:val="none" w:sz="0" w:space="0" w:color="auto"/>
          </w:divBdr>
        </w:div>
      </w:divsChild>
    </w:div>
    <w:div w:id="1073939849">
      <w:bodyDiv w:val="1"/>
      <w:marLeft w:val="0"/>
      <w:marRight w:val="0"/>
      <w:marTop w:val="0"/>
      <w:marBottom w:val="0"/>
      <w:divBdr>
        <w:top w:val="none" w:sz="0" w:space="0" w:color="auto"/>
        <w:left w:val="none" w:sz="0" w:space="0" w:color="auto"/>
        <w:bottom w:val="none" w:sz="0" w:space="0" w:color="auto"/>
        <w:right w:val="none" w:sz="0" w:space="0" w:color="auto"/>
      </w:divBdr>
    </w:div>
    <w:div w:id="1145009062">
      <w:bodyDiv w:val="1"/>
      <w:marLeft w:val="0"/>
      <w:marRight w:val="0"/>
      <w:marTop w:val="0"/>
      <w:marBottom w:val="0"/>
      <w:divBdr>
        <w:top w:val="none" w:sz="0" w:space="0" w:color="auto"/>
        <w:left w:val="none" w:sz="0" w:space="0" w:color="auto"/>
        <w:bottom w:val="none" w:sz="0" w:space="0" w:color="auto"/>
        <w:right w:val="none" w:sz="0" w:space="0" w:color="auto"/>
      </w:divBdr>
    </w:div>
    <w:div w:id="1195190922">
      <w:bodyDiv w:val="1"/>
      <w:marLeft w:val="0"/>
      <w:marRight w:val="0"/>
      <w:marTop w:val="0"/>
      <w:marBottom w:val="0"/>
      <w:divBdr>
        <w:top w:val="none" w:sz="0" w:space="0" w:color="auto"/>
        <w:left w:val="none" w:sz="0" w:space="0" w:color="auto"/>
        <w:bottom w:val="none" w:sz="0" w:space="0" w:color="auto"/>
        <w:right w:val="none" w:sz="0" w:space="0" w:color="auto"/>
      </w:divBdr>
      <w:divsChild>
        <w:div w:id="1112869093">
          <w:marLeft w:val="0"/>
          <w:marRight w:val="0"/>
          <w:marTop w:val="0"/>
          <w:marBottom w:val="0"/>
          <w:divBdr>
            <w:top w:val="none" w:sz="0" w:space="0" w:color="auto"/>
            <w:left w:val="none" w:sz="0" w:space="0" w:color="auto"/>
            <w:bottom w:val="none" w:sz="0" w:space="0" w:color="auto"/>
            <w:right w:val="none" w:sz="0" w:space="0" w:color="auto"/>
          </w:divBdr>
        </w:div>
      </w:divsChild>
    </w:div>
    <w:div w:id="1283338331">
      <w:bodyDiv w:val="1"/>
      <w:marLeft w:val="0"/>
      <w:marRight w:val="0"/>
      <w:marTop w:val="0"/>
      <w:marBottom w:val="0"/>
      <w:divBdr>
        <w:top w:val="none" w:sz="0" w:space="0" w:color="auto"/>
        <w:left w:val="none" w:sz="0" w:space="0" w:color="auto"/>
        <w:bottom w:val="none" w:sz="0" w:space="0" w:color="auto"/>
        <w:right w:val="none" w:sz="0" w:space="0" w:color="auto"/>
      </w:divBdr>
    </w:div>
    <w:div w:id="1295868413">
      <w:bodyDiv w:val="1"/>
      <w:marLeft w:val="0"/>
      <w:marRight w:val="0"/>
      <w:marTop w:val="0"/>
      <w:marBottom w:val="0"/>
      <w:divBdr>
        <w:top w:val="none" w:sz="0" w:space="0" w:color="auto"/>
        <w:left w:val="none" w:sz="0" w:space="0" w:color="auto"/>
        <w:bottom w:val="none" w:sz="0" w:space="0" w:color="auto"/>
        <w:right w:val="none" w:sz="0" w:space="0" w:color="auto"/>
      </w:divBdr>
    </w:div>
    <w:div w:id="1298225225">
      <w:bodyDiv w:val="1"/>
      <w:marLeft w:val="0"/>
      <w:marRight w:val="0"/>
      <w:marTop w:val="0"/>
      <w:marBottom w:val="0"/>
      <w:divBdr>
        <w:top w:val="none" w:sz="0" w:space="0" w:color="auto"/>
        <w:left w:val="none" w:sz="0" w:space="0" w:color="auto"/>
        <w:bottom w:val="none" w:sz="0" w:space="0" w:color="auto"/>
        <w:right w:val="none" w:sz="0" w:space="0" w:color="auto"/>
      </w:divBdr>
    </w:div>
    <w:div w:id="1433939109">
      <w:bodyDiv w:val="1"/>
      <w:marLeft w:val="0"/>
      <w:marRight w:val="0"/>
      <w:marTop w:val="0"/>
      <w:marBottom w:val="0"/>
      <w:divBdr>
        <w:top w:val="none" w:sz="0" w:space="0" w:color="auto"/>
        <w:left w:val="none" w:sz="0" w:space="0" w:color="auto"/>
        <w:bottom w:val="none" w:sz="0" w:space="0" w:color="auto"/>
        <w:right w:val="none" w:sz="0" w:space="0" w:color="auto"/>
      </w:divBdr>
    </w:div>
    <w:div w:id="1498570341">
      <w:bodyDiv w:val="1"/>
      <w:marLeft w:val="0"/>
      <w:marRight w:val="0"/>
      <w:marTop w:val="0"/>
      <w:marBottom w:val="0"/>
      <w:divBdr>
        <w:top w:val="none" w:sz="0" w:space="0" w:color="auto"/>
        <w:left w:val="none" w:sz="0" w:space="0" w:color="auto"/>
        <w:bottom w:val="none" w:sz="0" w:space="0" w:color="auto"/>
        <w:right w:val="none" w:sz="0" w:space="0" w:color="auto"/>
      </w:divBdr>
    </w:div>
    <w:div w:id="1542747383">
      <w:bodyDiv w:val="1"/>
      <w:marLeft w:val="0"/>
      <w:marRight w:val="0"/>
      <w:marTop w:val="0"/>
      <w:marBottom w:val="0"/>
      <w:divBdr>
        <w:top w:val="none" w:sz="0" w:space="0" w:color="auto"/>
        <w:left w:val="none" w:sz="0" w:space="0" w:color="auto"/>
        <w:bottom w:val="none" w:sz="0" w:space="0" w:color="auto"/>
        <w:right w:val="none" w:sz="0" w:space="0" w:color="auto"/>
      </w:divBdr>
    </w:div>
    <w:div w:id="1888253372">
      <w:bodyDiv w:val="1"/>
      <w:marLeft w:val="0"/>
      <w:marRight w:val="0"/>
      <w:marTop w:val="0"/>
      <w:marBottom w:val="0"/>
      <w:divBdr>
        <w:top w:val="none" w:sz="0" w:space="0" w:color="auto"/>
        <w:left w:val="none" w:sz="0" w:space="0" w:color="auto"/>
        <w:bottom w:val="none" w:sz="0" w:space="0" w:color="auto"/>
        <w:right w:val="none" w:sz="0" w:space="0" w:color="auto"/>
      </w:divBdr>
    </w:div>
    <w:div w:id="1926648142">
      <w:bodyDiv w:val="1"/>
      <w:marLeft w:val="0"/>
      <w:marRight w:val="0"/>
      <w:marTop w:val="0"/>
      <w:marBottom w:val="0"/>
      <w:divBdr>
        <w:top w:val="none" w:sz="0" w:space="0" w:color="auto"/>
        <w:left w:val="none" w:sz="0" w:space="0" w:color="auto"/>
        <w:bottom w:val="none" w:sz="0" w:space="0" w:color="auto"/>
        <w:right w:val="none" w:sz="0" w:space="0" w:color="auto"/>
      </w:divBdr>
    </w:div>
    <w:div w:id="1998073824">
      <w:bodyDiv w:val="1"/>
      <w:marLeft w:val="0"/>
      <w:marRight w:val="0"/>
      <w:marTop w:val="0"/>
      <w:marBottom w:val="0"/>
      <w:divBdr>
        <w:top w:val="none" w:sz="0" w:space="0" w:color="auto"/>
        <w:left w:val="none" w:sz="0" w:space="0" w:color="auto"/>
        <w:bottom w:val="none" w:sz="0" w:space="0" w:color="auto"/>
        <w:right w:val="none" w:sz="0" w:space="0" w:color="auto"/>
      </w:divBdr>
    </w:div>
    <w:div w:id="2068675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lojiblog.com/services/viewer.php?data=16604" TargetMode="External"/><Relationship Id="rId18" Type="http://schemas.openxmlformats.org/officeDocument/2006/relationships/hyperlink" Target="http://www.lojiblog.com/services/viewer.php?data=16645" TargetMode="External"/><Relationship Id="rId26" Type="http://schemas.openxmlformats.org/officeDocument/2006/relationships/hyperlink" Target="http://www.lojiblog.com/services/viewer.php?data=16715" TargetMode="External"/><Relationship Id="rId39" Type="http://schemas.openxmlformats.org/officeDocument/2006/relationships/image" Target="media/image5.jpeg"/><Relationship Id="rId21" Type="http://schemas.openxmlformats.org/officeDocument/2006/relationships/hyperlink" Target="http://www.lojiblog.com/services/viewer.php?data=16668" TargetMode="External"/><Relationship Id="rId34" Type="http://schemas.openxmlformats.org/officeDocument/2006/relationships/hyperlink" Target="https://www.resmigazete.gov.tr/eskiler/2022/11/20221123-3.htm" TargetMode="External"/><Relationship Id="rId42" Type="http://schemas.openxmlformats.org/officeDocument/2006/relationships/hyperlink" Target="http://www.lojiblog.com/services/viewer.php?data=16787" TargetMode="External"/><Relationship Id="rId47" Type="http://schemas.openxmlformats.org/officeDocument/2006/relationships/hyperlink" Target="http://www.lojiblog.com/services/viewer.php?data=16835" TargetMode="External"/><Relationship Id="rId50" Type="http://schemas.openxmlformats.org/officeDocument/2006/relationships/image" Target="media/image8.jpeg"/><Relationship Id="rId7" Type="http://schemas.openxmlformats.org/officeDocument/2006/relationships/hyperlink" Target="https://ticaret.gov.tr/haberler/2022-yili-ekim-ayi-dis-ticaret-verileri" TargetMode="External"/><Relationship Id="rId2" Type="http://schemas.openxmlformats.org/officeDocument/2006/relationships/settings" Target="settings.xml"/><Relationship Id="rId16" Type="http://schemas.openxmlformats.org/officeDocument/2006/relationships/hyperlink" Target="http://www.lojiblog.com/services/viewer.php?data=16629" TargetMode="External"/><Relationship Id="rId29" Type="http://schemas.openxmlformats.org/officeDocument/2006/relationships/hyperlink" Target="https://ticaret.gov.tr/urun-guvenligi/ticarette-teknik-engeller-raporu" TargetMode="External"/><Relationship Id="rId11" Type="http://schemas.openxmlformats.org/officeDocument/2006/relationships/hyperlink" Target="http://www.lojiblog.com/services/viewer.php?data=16595" TargetMode="External"/><Relationship Id="rId24" Type="http://schemas.openxmlformats.org/officeDocument/2006/relationships/hyperlink" Target="http://www.lojiblog.com/services/viewer.php?data=16691" TargetMode="External"/><Relationship Id="rId32" Type="http://schemas.openxmlformats.org/officeDocument/2006/relationships/hyperlink" Target="http://www.lojiblog.com/services/viewer.php?data=16763" TargetMode="External"/><Relationship Id="rId37" Type="http://schemas.openxmlformats.org/officeDocument/2006/relationships/image" Target="media/image3.jpeg"/><Relationship Id="rId40" Type="http://schemas.openxmlformats.org/officeDocument/2006/relationships/image" Target="media/image6.jpeg"/><Relationship Id="rId45" Type="http://schemas.openxmlformats.org/officeDocument/2006/relationships/hyperlink" Target="http://www.lojiblog.com/services/viewer.php?data=16811" TargetMode="External"/><Relationship Id="rId5" Type="http://schemas.openxmlformats.org/officeDocument/2006/relationships/hyperlink" Target="http://www.lojiblog.com/services/viewer.php?data=16541" TargetMode="External"/><Relationship Id="rId15" Type="http://schemas.openxmlformats.org/officeDocument/2006/relationships/hyperlink" Target="https://www.resmigazete.gov.tr/eskiler/2022/11/20221109-3.htm" TargetMode="External"/><Relationship Id="rId23" Type="http://schemas.openxmlformats.org/officeDocument/2006/relationships/hyperlink" Target="http://www.lojiblog.com/services/viewer.php?data=16683" TargetMode="External"/><Relationship Id="rId28" Type="http://schemas.openxmlformats.org/officeDocument/2006/relationships/hyperlink" Target="http://www.lojiblog.com/services/viewer.php?data=16731" TargetMode="External"/><Relationship Id="rId36" Type="http://schemas.openxmlformats.org/officeDocument/2006/relationships/image" Target="media/image2.jpeg"/><Relationship Id="rId49" Type="http://schemas.openxmlformats.org/officeDocument/2006/relationships/hyperlink" Target="http://www.lojiblog.com/assets/docs/Otomobil_Ithalati_OTV_Matrah_Araliginda_Degisiklik.pdf" TargetMode="External"/><Relationship Id="rId10" Type="http://schemas.openxmlformats.org/officeDocument/2006/relationships/hyperlink" Target="http://www.lojiblog.com/services/viewer.php?data=16587" TargetMode="External"/><Relationship Id="rId19" Type="http://schemas.openxmlformats.org/officeDocument/2006/relationships/hyperlink" Target="http://www.lojiblog.com/services/viewer.php?data=16653" TargetMode="External"/><Relationship Id="rId31" Type="http://schemas.openxmlformats.org/officeDocument/2006/relationships/hyperlink" Target="http://www.lojiblog.com/services/viewer.php?data=16755" TargetMode="External"/><Relationship Id="rId44" Type="http://schemas.openxmlformats.org/officeDocument/2006/relationships/hyperlink" Target="http://www.lojiblog.com/services/viewer.php?data=16802" TargetMode="External"/><Relationship Id="rId52" Type="http://schemas.openxmlformats.org/officeDocument/2006/relationships/theme" Target="theme/theme1.xml"/><Relationship Id="rId4" Type="http://schemas.openxmlformats.org/officeDocument/2006/relationships/hyperlink" Target="http://www.lojiblog.com/services/viewer.php?data=16536" TargetMode="External"/><Relationship Id="rId9" Type="http://schemas.openxmlformats.org/officeDocument/2006/relationships/hyperlink" Target="http://www.lojiblog.com/services/viewer.php?data=16579" TargetMode="External"/><Relationship Id="rId14" Type="http://schemas.openxmlformats.org/officeDocument/2006/relationships/hyperlink" Target="http://www.lojiblog.com/services/viewer.php?data=16605" TargetMode="External"/><Relationship Id="rId22" Type="http://schemas.openxmlformats.org/officeDocument/2006/relationships/hyperlink" Target="http://www.lojiblog.com/services/viewer.php?data=16676" TargetMode="External"/><Relationship Id="rId27" Type="http://schemas.openxmlformats.org/officeDocument/2006/relationships/hyperlink" Target="http://www.lojiblog.com/services/viewer.php?data=16723" TargetMode="External"/><Relationship Id="rId30" Type="http://schemas.openxmlformats.org/officeDocument/2006/relationships/hyperlink" Target="http://www.lojiblog.com/services/viewer.php?data=16747" TargetMode="External"/><Relationship Id="rId35" Type="http://schemas.openxmlformats.org/officeDocument/2006/relationships/image" Target="media/image1.gif"/><Relationship Id="rId43" Type="http://schemas.openxmlformats.org/officeDocument/2006/relationships/hyperlink" Target="http://www.lojiblog.com/services/viewer.php?data=16794" TargetMode="External"/><Relationship Id="rId48" Type="http://schemas.openxmlformats.org/officeDocument/2006/relationships/hyperlink" Target="http://www.lojiblog.com/services/viewer.php?data=16843" TargetMode="External"/><Relationship Id="rId8" Type="http://schemas.openxmlformats.org/officeDocument/2006/relationships/hyperlink" Target="http://www.lojiblog.com/services/viewer.php?data=16571" TargetMode="External"/><Relationship Id="rId51"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http://www.lojiblog.com/services/viewer.php?data=16603" TargetMode="External"/><Relationship Id="rId17" Type="http://schemas.openxmlformats.org/officeDocument/2006/relationships/hyperlink" Target="http://www.lojiblog.com/services/viewer.php?data=16637" TargetMode="External"/><Relationship Id="rId25" Type="http://schemas.openxmlformats.org/officeDocument/2006/relationships/hyperlink" Target="http://www.lojiblog.com/services/viewer.php?data=16699" TargetMode="External"/><Relationship Id="rId33" Type="http://schemas.openxmlformats.org/officeDocument/2006/relationships/hyperlink" Target="http://www.lojiblog.com/services/viewer.php?data=16770" TargetMode="External"/><Relationship Id="rId38" Type="http://schemas.openxmlformats.org/officeDocument/2006/relationships/image" Target="media/image4.jpeg"/><Relationship Id="rId46" Type="http://schemas.openxmlformats.org/officeDocument/2006/relationships/hyperlink" Target="http://www.lojiblog.com/services/viewer.php?data=16827" TargetMode="External"/><Relationship Id="rId20" Type="http://schemas.openxmlformats.org/officeDocument/2006/relationships/hyperlink" Target="http://www.lojiblog.com/services/viewer.php?data=16660" TargetMode="External"/><Relationship Id="rId41" Type="http://schemas.openxmlformats.org/officeDocument/2006/relationships/image" Target="media/image7.jpeg"/><Relationship Id="rId1" Type="http://schemas.openxmlformats.org/officeDocument/2006/relationships/styles" Target="styles.xml"/><Relationship Id="rId6" Type="http://schemas.openxmlformats.org/officeDocument/2006/relationships/hyperlink" Target="http://www.lojiblog.com/services/viewer.php?data=16555"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180</TotalTime>
  <Pages>1</Pages>
  <Words>3164</Words>
  <Characters>18036</Characters>
  <Application>Microsoft Office Word</Application>
  <DocSecurity>0</DocSecurity>
  <Lines>150</Lines>
  <Paragraphs>42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Önal YILMAZ2</dc:creator>
  <cp:keywords/>
  <dc:description/>
  <cp:lastModifiedBy>Önal YILMAZ2</cp:lastModifiedBy>
  <cp:revision>18</cp:revision>
  <dcterms:created xsi:type="dcterms:W3CDTF">2022-11-01T08:16:00Z</dcterms:created>
  <dcterms:modified xsi:type="dcterms:W3CDTF">2022-12-01T08:06:00Z</dcterms:modified>
</cp:coreProperties>
</file>