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314" w:rsidRPr="00DE6314" w:rsidRDefault="00DE6314" w:rsidP="00DE6314">
      <w:pPr>
        <w:spacing w:after="0" w:line="240" w:lineRule="auto"/>
        <w:ind w:firstLine="709"/>
        <w:jc w:val="center"/>
        <w:rPr>
          <w:rFonts w:ascii="Times New Roman" w:eastAsia="Times New Roman" w:hAnsi="Times New Roman" w:cs="Times New Roman"/>
          <w:color w:val="800000"/>
          <w:sz w:val="28"/>
          <w:szCs w:val="24"/>
          <w:lang w:eastAsia="tr-TR"/>
        </w:rPr>
      </w:pPr>
      <w:r w:rsidRPr="00DE6314">
        <w:rPr>
          <w:rFonts w:ascii="Times New Roman" w:eastAsia="Times New Roman" w:hAnsi="Times New Roman" w:cs="Times New Roman"/>
          <w:b/>
          <w:bCs/>
          <w:color w:val="800000"/>
          <w:sz w:val="28"/>
          <w:szCs w:val="24"/>
          <w:lang w:eastAsia="tr-TR"/>
        </w:rPr>
        <w:t>GÜMRÜK GENEL TEBLİĞİ (Serbest Dolaşıma Giriş) Seri No 3</w:t>
      </w:r>
    </w:p>
    <w:p w:rsidR="00DE6314" w:rsidRDefault="00DE6314" w:rsidP="00DE6314">
      <w:pPr>
        <w:spacing w:before="120" w:after="0" w:line="240" w:lineRule="auto"/>
        <w:ind w:firstLine="709"/>
        <w:jc w:val="right"/>
        <w:rPr>
          <w:rFonts w:ascii="Times New Roman" w:eastAsia="Times New Roman" w:hAnsi="Times New Roman" w:cs="Times New Roman"/>
          <w:i/>
          <w:iCs/>
          <w:sz w:val="20"/>
          <w:szCs w:val="20"/>
          <w:lang w:eastAsia="tr-TR"/>
        </w:rPr>
      </w:pPr>
      <w:r w:rsidRPr="00DE6314">
        <w:rPr>
          <w:rFonts w:ascii="Times New Roman" w:eastAsia="Times New Roman" w:hAnsi="Times New Roman" w:cs="Times New Roman"/>
          <w:i/>
          <w:iCs/>
          <w:sz w:val="20"/>
          <w:szCs w:val="20"/>
          <w:lang w:eastAsia="tr-TR"/>
        </w:rPr>
        <w:t>Gümrük Müsteşarlığından:  05.04.2003 tarihli, 25070 sayılı R.G.</w:t>
      </w:r>
    </w:p>
    <w:p w:rsidR="00DE6314" w:rsidRPr="00DE6314" w:rsidRDefault="00DE6314" w:rsidP="00DE6314">
      <w:pPr>
        <w:spacing w:before="120" w:after="0" w:line="240" w:lineRule="auto"/>
        <w:ind w:firstLine="709"/>
        <w:jc w:val="right"/>
        <w:rPr>
          <w:rFonts w:ascii="Times New Roman" w:eastAsia="Times New Roman" w:hAnsi="Times New Roman" w:cs="Times New Roman"/>
          <w:i/>
          <w:iCs/>
          <w:sz w:val="20"/>
          <w:szCs w:val="20"/>
          <w:lang w:eastAsia="tr-TR"/>
        </w:rPr>
      </w:pPr>
    </w:p>
    <w:p w:rsidR="00DE6314" w:rsidRPr="00DE6314" w:rsidRDefault="00DE6314" w:rsidP="00DE631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ourier New" w:hAnsi="Times New Roman" w:cs="Courier New"/>
          <w:bCs/>
          <w:sz w:val="20"/>
          <w:szCs w:val="20"/>
          <w:highlight w:val="lightGray"/>
          <w:lang w:eastAsia="tr-TR"/>
        </w:rPr>
      </w:pPr>
      <w:r w:rsidRPr="00DE6314">
        <w:rPr>
          <w:rFonts w:ascii="Times New Roman" w:eastAsia="Courier New" w:hAnsi="Times New Roman" w:cs="Courier New"/>
          <w:b/>
          <w:bCs/>
          <w:sz w:val="20"/>
          <w:szCs w:val="20"/>
          <w:highlight w:val="lightGray"/>
          <w:lang w:eastAsia="tr-TR"/>
        </w:rPr>
        <w:t>İplik</w:t>
      </w:r>
      <w:r w:rsidRPr="00DE6314">
        <w:rPr>
          <w:rFonts w:ascii="Times New Roman" w:eastAsia="Courier New" w:hAnsi="Times New Roman" w:cs="Courier New"/>
          <w:bCs/>
          <w:sz w:val="20"/>
          <w:szCs w:val="20"/>
          <w:highlight w:val="lightGray"/>
          <w:lang w:eastAsia="tr-TR"/>
        </w:rPr>
        <w:t xml:space="preserve"> Referans Kıymet ve  </w:t>
      </w:r>
      <w:hyperlink r:id="rId7" w:history="1">
        <w:r w:rsidRPr="00DE6314">
          <w:rPr>
            <w:rFonts w:ascii="Times New Roman" w:eastAsia="Courier New" w:hAnsi="Times New Roman" w:cs="Courier New"/>
            <w:bCs/>
            <w:color w:val="0000FF"/>
            <w:sz w:val="20"/>
            <w:szCs w:val="20"/>
            <w:highlight w:val="lightGray"/>
            <w:u w:val="single"/>
            <w:lang w:eastAsia="tr-TR"/>
          </w:rPr>
          <w:t>Detay Beyan Formu</w:t>
        </w:r>
      </w:hyperlink>
    </w:p>
    <w:p w:rsidR="00DE6314" w:rsidRPr="00DE6314" w:rsidRDefault="00DE6314" w:rsidP="00DE631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ourier New" w:hAnsi="Times New Roman" w:cs="Courier New"/>
          <w:bCs/>
          <w:sz w:val="20"/>
          <w:szCs w:val="20"/>
          <w:highlight w:val="lightGray"/>
          <w:lang w:eastAsia="tr-TR"/>
        </w:rPr>
      </w:pPr>
      <w:r w:rsidRPr="00DE6314">
        <w:rPr>
          <w:rFonts w:ascii="Times New Roman" w:eastAsia="Courier New" w:hAnsi="Times New Roman" w:cs="Courier New"/>
          <w:b/>
          <w:bCs/>
          <w:sz w:val="20"/>
          <w:szCs w:val="20"/>
          <w:highlight w:val="lightGray"/>
          <w:lang w:eastAsia="tr-TR"/>
        </w:rPr>
        <w:t>Elyaf</w:t>
      </w:r>
      <w:r w:rsidRPr="00DE6314">
        <w:rPr>
          <w:rFonts w:ascii="Times New Roman" w:eastAsia="Courier New" w:hAnsi="Times New Roman" w:cs="Courier New"/>
          <w:bCs/>
          <w:sz w:val="20"/>
          <w:szCs w:val="20"/>
          <w:highlight w:val="lightGray"/>
          <w:lang w:eastAsia="tr-TR"/>
        </w:rPr>
        <w:t xml:space="preserve"> Referans Kıymet ve  </w:t>
      </w:r>
      <w:hyperlink r:id="rId8" w:history="1">
        <w:r w:rsidRPr="00DE6314">
          <w:rPr>
            <w:rFonts w:ascii="Times New Roman" w:eastAsia="Courier New" w:hAnsi="Times New Roman" w:cs="Courier New"/>
            <w:bCs/>
            <w:color w:val="0000FF"/>
            <w:sz w:val="20"/>
            <w:szCs w:val="20"/>
            <w:highlight w:val="lightGray"/>
            <w:u w:val="single"/>
            <w:lang w:eastAsia="tr-TR"/>
          </w:rPr>
          <w:t>Detay Beyan Formu</w:t>
        </w:r>
      </w:hyperlink>
      <w:bookmarkStart w:id="0" w:name="_GoBack"/>
      <w:bookmarkEnd w:id="0"/>
    </w:p>
    <w:p w:rsidR="00DE6314" w:rsidRPr="00DE6314" w:rsidRDefault="00DE6314" w:rsidP="00DE631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ourier New" w:hAnsi="Times New Roman" w:cs="Courier New"/>
          <w:bCs/>
          <w:sz w:val="20"/>
          <w:szCs w:val="20"/>
          <w:highlight w:val="lightGray"/>
          <w:lang w:eastAsia="tr-TR"/>
        </w:rPr>
      </w:pPr>
      <w:r w:rsidRPr="00DE6314">
        <w:rPr>
          <w:rFonts w:ascii="Times New Roman" w:eastAsia="Courier New" w:hAnsi="Times New Roman" w:cs="Courier New"/>
          <w:b/>
          <w:bCs/>
          <w:sz w:val="20"/>
          <w:szCs w:val="20"/>
          <w:highlight w:val="lightGray"/>
          <w:lang w:eastAsia="tr-TR"/>
        </w:rPr>
        <w:t>Dokuma</w:t>
      </w:r>
      <w:r w:rsidRPr="00DE6314">
        <w:rPr>
          <w:rFonts w:ascii="Times New Roman" w:eastAsia="Courier New" w:hAnsi="Times New Roman" w:cs="Courier New"/>
          <w:bCs/>
          <w:sz w:val="20"/>
          <w:szCs w:val="20"/>
          <w:highlight w:val="lightGray"/>
          <w:lang w:eastAsia="tr-TR"/>
        </w:rPr>
        <w:t xml:space="preserve"> Kumaş için </w:t>
      </w:r>
      <w:hyperlink r:id="rId9" w:history="1">
        <w:r w:rsidRPr="00DE6314">
          <w:rPr>
            <w:rFonts w:ascii="Times New Roman" w:eastAsia="Courier New" w:hAnsi="Times New Roman" w:cs="Courier New"/>
            <w:bCs/>
            <w:color w:val="0000FF"/>
            <w:sz w:val="20"/>
            <w:szCs w:val="20"/>
            <w:highlight w:val="lightGray"/>
            <w:u w:val="single"/>
            <w:lang w:eastAsia="tr-TR"/>
          </w:rPr>
          <w:t>Referans Tablosu</w:t>
        </w:r>
      </w:hyperlink>
    </w:p>
    <w:p w:rsidR="00DE6314" w:rsidRPr="00DE6314" w:rsidRDefault="00DE6314" w:rsidP="00DE631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ourier New" w:hAnsi="Times New Roman" w:cs="Courier New"/>
          <w:bCs/>
          <w:sz w:val="20"/>
          <w:szCs w:val="20"/>
          <w:highlight w:val="lightGray"/>
          <w:lang w:eastAsia="tr-TR"/>
        </w:rPr>
      </w:pPr>
      <w:r w:rsidRPr="00DE6314">
        <w:rPr>
          <w:rFonts w:ascii="Times New Roman" w:eastAsia="Courier New" w:hAnsi="Times New Roman" w:cs="Courier New"/>
          <w:b/>
          <w:bCs/>
          <w:sz w:val="20"/>
          <w:szCs w:val="20"/>
          <w:highlight w:val="lightGray"/>
          <w:lang w:eastAsia="tr-TR"/>
        </w:rPr>
        <w:t>Ham</w:t>
      </w:r>
      <w:r w:rsidRPr="00DE6314">
        <w:rPr>
          <w:rFonts w:ascii="Times New Roman" w:eastAsia="Courier New" w:hAnsi="Times New Roman" w:cs="Courier New"/>
          <w:bCs/>
          <w:sz w:val="20"/>
          <w:szCs w:val="20"/>
          <w:highlight w:val="lightGray"/>
          <w:lang w:eastAsia="tr-TR"/>
        </w:rPr>
        <w:t xml:space="preserve"> </w:t>
      </w:r>
      <w:r w:rsidRPr="00DE6314">
        <w:rPr>
          <w:rFonts w:ascii="Times New Roman" w:eastAsia="Courier New" w:hAnsi="Times New Roman" w:cs="Courier New"/>
          <w:b/>
          <w:bCs/>
          <w:sz w:val="20"/>
          <w:szCs w:val="20"/>
          <w:highlight w:val="lightGray"/>
          <w:lang w:eastAsia="tr-TR"/>
        </w:rPr>
        <w:t>Örme</w:t>
      </w:r>
      <w:r w:rsidRPr="00DE6314">
        <w:rPr>
          <w:rFonts w:ascii="Times New Roman" w:eastAsia="Courier New" w:hAnsi="Times New Roman" w:cs="Courier New"/>
          <w:bCs/>
          <w:sz w:val="20"/>
          <w:szCs w:val="20"/>
          <w:highlight w:val="lightGray"/>
          <w:lang w:eastAsia="tr-TR"/>
        </w:rPr>
        <w:t xml:space="preserve"> Kumaş için </w:t>
      </w:r>
      <w:hyperlink r:id="rId10" w:history="1">
        <w:r w:rsidRPr="00DE6314">
          <w:rPr>
            <w:rFonts w:ascii="Times New Roman" w:eastAsia="Courier New" w:hAnsi="Times New Roman" w:cs="Courier New"/>
            <w:bCs/>
            <w:color w:val="0000FF"/>
            <w:sz w:val="20"/>
            <w:szCs w:val="20"/>
            <w:highlight w:val="lightGray"/>
            <w:u w:val="single"/>
            <w:lang w:eastAsia="tr-TR"/>
          </w:rPr>
          <w:t>Referans Tablosu</w:t>
        </w:r>
      </w:hyperlink>
    </w:p>
    <w:p w:rsidR="00DE6314" w:rsidRPr="00DE6314" w:rsidRDefault="00DE6314" w:rsidP="00DE6314">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ourier New" w:hAnsi="Times New Roman" w:cs="Courier New"/>
          <w:bCs/>
          <w:sz w:val="20"/>
          <w:szCs w:val="20"/>
          <w:highlight w:val="lightGray"/>
          <w:lang w:eastAsia="tr-TR"/>
        </w:rPr>
      </w:pPr>
      <w:r w:rsidRPr="00DE6314">
        <w:rPr>
          <w:rFonts w:ascii="Times New Roman" w:eastAsia="Courier New" w:hAnsi="Times New Roman" w:cs="Courier New"/>
          <w:b/>
          <w:bCs/>
          <w:sz w:val="20"/>
          <w:szCs w:val="20"/>
          <w:highlight w:val="lightGray"/>
          <w:lang w:eastAsia="tr-TR"/>
        </w:rPr>
        <w:t>Mamul</w:t>
      </w:r>
      <w:r w:rsidRPr="00DE6314">
        <w:rPr>
          <w:rFonts w:ascii="Times New Roman" w:eastAsia="Courier New" w:hAnsi="Times New Roman" w:cs="Courier New"/>
          <w:bCs/>
          <w:sz w:val="20"/>
          <w:szCs w:val="20"/>
          <w:highlight w:val="lightGray"/>
          <w:lang w:eastAsia="tr-TR"/>
        </w:rPr>
        <w:t xml:space="preserve"> </w:t>
      </w:r>
      <w:r w:rsidRPr="00DE6314">
        <w:rPr>
          <w:rFonts w:ascii="Times New Roman" w:eastAsia="Courier New" w:hAnsi="Times New Roman" w:cs="Courier New"/>
          <w:b/>
          <w:bCs/>
          <w:sz w:val="20"/>
          <w:szCs w:val="20"/>
          <w:highlight w:val="lightGray"/>
          <w:lang w:eastAsia="tr-TR"/>
        </w:rPr>
        <w:t>Örme</w:t>
      </w:r>
      <w:r w:rsidRPr="00DE6314">
        <w:rPr>
          <w:rFonts w:ascii="Times New Roman" w:eastAsia="Courier New" w:hAnsi="Times New Roman" w:cs="Courier New"/>
          <w:bCs/>
          <w:sz w:val="20"/>
          <w:szCs w:val="20"/>
          <w:highlight w:val="lightGray"/>
          <w:lang w:eastAsia="tr-TR"/>
        </w:rPr>
        <w:t xml:space="preserve"> Kumaş için </w:t>
      </w:r>
      <w:hyperlink r:id="rId11" w:history="1">
        <w:r w:rsidRPr="00DE6314">
          <w:rPr>
            <w:rFonts w:ascii="Times New Roman" w:eastAsia="Courier New" w:hAnsi="Times New Roman" w:cs="Courier New"/>
            <w:bCs/>
            <w:color w:val="0000FF"/>
            <w:sz w:val="20"/>
            <w:szCs w:val="20"/>
            <w:highlight w:val="lightGray"/>
            <w:u w:val="single"/>
            <w:lang w:eastAsia="tr-TR"/>
          </w:rPr>
          <w:t>Referans Tablosu</w:t>
        </w:r>
      </w:hyperlink>
      <w:r w:rsidRPr="00DE6314">
        <w:rPr>
          <w:rFonts w:ascii="Times New Roman" w:eastAsia="Courier New" w:hAnsi="Times New Roman" w:cs="Courier New"/>
          <w:bCs/>
          <w:sz w:val="20"/>
          <w:szCs w:val="20"/>
          <w:highlight w:val="lightGray"/>
          <w:u w:val="single"/>
          <w:lang w:eastAsia="tr-TR"/>
        </w:rPr>
        <w:t xml:space="preserve"> </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Courier New" w:hAnsi="Times New Roman" w:cs="Courier New"/>
          <w:szCs w:val="20"/>
          <w:lang w:eastAsia="tr-TR"/>
        </w:rPr>
      </w:pP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b/>
          <w:bCs/>
          <w:szCs w:val="20"/>
          <w:lang w:eastAsia="tr-TR"/>
        </w:rPr>
      </w:pPr>
      <w:r w:rsidRPr="00DE6314">
        <w:rPr>
          <w:rFonts w:ascii="Times New Roman" w:eastAsia="Courier New" w:hAnsi="Times New Roman" w:cs="Courier New"/>
          <w:b/>
          <w:bCs/>
          <w:szCs w:val="20"/>
          <w:lang w:eastAsia="tr-TR"/>
        </w:rPr>
        <w:t>Amaç ve kapsam</w:t>
      </w:r>
    </w:p>
    <w:p w:rsidR="00DE6314" w:rsidRPr="00DE6314" w:rsidRDefault="00DE6314" w:rsidP="00DE6314">
      <w:pPr>
        <w:tabs>
          <w:tab w:val="left" w:pos="708"/>
        </w:tabs>
        <w:spacing w:before="120" w:after="0" w:line="240" w:lineRule="auto"/>
        <w:ind w:firstLine="709"/>
        <w:jc w:val="both"/>
        <w:rPr>
          <w:rFonts w:ascii="Times New Roman" w:eastAsia="Times New Roman" w:hAnsi="Times New Roman" w:cs="Times New Roman"/>
          <w:i/>
          <w:color w:val="FF0000"/>
          <w:sz w:val="20"/>
          <w:lang w:eastAsia="tr-TR"/>
        </w:rPr>
      </w:pPr>
      <w:r w:rsidRPr="00DE6314">
        <w:rPr>
          <w:rFonts w:ascii="Times New Roman" w:eastAsia="Times New Roman" w:hAnsi="Times New Roman" w:cs="Times New Roman"/>
          <w:b/>
          <w:lang w:eastAsia="tr-TR"/>
        </w:rPr>
        <w:t>MADDE 1 –</w:t>
      </w:r>
      <w:r w:rsidRPr="00DE6314">
        <w:rPr>
          <w:rFonts w:ascii="Times New Roman" w:eastAsia="Times New Roman" w:hAnsi="Times New Roman" w:cs="Times New Roman"/>
          <w:lang w:eastAsia="tr-TR"/>
        </w:rPr>
        <w:t xml:space="preserve"> Bu Tebliğ, dampinge ve sübvansiyona karşı önlem, korunma önlemi ve gözetim uygulamasına tabi eşyanın serbest dolaşıma girişinde tercihsiz menşe kurallarına göre menşeinin tespiti ile dokumaya elverişli maddelerden mamul mensucat cinsi eşya, örme kumaş cinsi eşya ile uzun elyaf, kısa elyaf ve filament ipliklerin serbest dolaşıma girişinde uygulanacak usul ve esasların belirlenmesi amacıyla 4458 sayılı Gümrük Kanununun </w:t>
      </w:r>
      <w:hyperlink r:id="rId12" w:anchor="Madde10ve11ve12ve13Diğerhükümler" w:history="1">
        <w:r w:rsidRPr="00DE6314">
          <w:rPr>
            <w:rFonts w:ascii="Times New Roman" w:eastAsia="Courier New" w:hAnsi="Times New Roman" w:cs="Times New Roman"/>
            <w:color w:val="0000FF"/>
            <w:u w:val="single"/>
            <w:lang w:eastAsia="tr-TR"/>
          </w:rPr>
          <w:t>10</w:t>
        </w:r>
      </w:hyperlink>
      <w:r w:rsidRPr="00DE6314">
        <w:rPr>
          <w:rFonts w:ascii="Times New Roman" w:eastAsia="Times New Roman" w:hAnsi="Times New Roman" w:cs="Times New Roman"/>
          <w:lang w:eastAsia="tr-TR"/>
        </w:rPr>
        <w:t xml:space="preserve"> ve </w:t>
      </w:r>
      <w:hyperlink r:id="rId13" w:anchor="Madde065" w:history="1">
        <w:r w:rsidRPr="00DE6314">
          <w:rPr>
            <w:rFonts w:ascii="Times New Roman" w:eastAsia="Courier New" w:hAnsi="Times New Roman" w:cs="Times New Roman"/>
            <w:color w:val="0000FF"/>
            <w:u w:val="single"/>
            <w:lang w:eastAsia="tr-TR"/>
          </w:rPr>
          <w:t>65 inci</w:t>
        </w:r>
      </w:hyperlink>
      <w:r w:rsidRPr="00DE6314">
        <w:rPr>
          <w:rFonts w:ascii="Times New Roman" w:eastAsia="Times New Roman" w:hAnsi="Times New Roman" w:cs="Times New Roman"/>
          <w:lang w:eastAsia="tr-TR"/>
        </w:rPr>
        <w:t xml:space="preserve"> maddelerine dayanılarak hazırlanmıştır.</w:t>
      </w:r>
      <w:r>
        <w:rPr>
          <w:rFonts w:ascii="Times New Roman" w:eastAsia="Times New Roman" w:hAnsi="Times New Roman" w:cs="Times New Roman"/>
          <w:i/>
          <w:color w:val="FF0000"/>
          <w:sz w:val="20"/>
          <w:lang w:eastAsia="tr-TR"/>
        </w:rPr>
        <w:t xml:space="preserve"> </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b/>
          <w:bCs/>
          <w:szCs w:val="20"/>
          <w:lang w:eastAsia="tr-TR"/>
        </w:rPr>
      </w:pPr>
      <w:r w:rsidRPr="00DE6314">
        <w:rPr>
          <w:rFonts w:ascii="Times New Roman" w:eastAsia="Courier New" w:hAnsi="Times New Roman" w:cs="Courier New"/>
          <w:b/>
          <w:bCs/>
          <w:szCs w:val="20"/>
          <w:lang w:eastAsia="tr-TR"/>
        </w:rPr>
        <w:t>Menşe ispatı</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r w:rsidRPr="00DE6314">
        <w:rPr>
          <w:rFonts w:ascii="Times New Roman" w:eastAsia="Courier New" w:hAnsi="Times New Roman" w:cs="Courier New"/>
          <w:b/>
          <w:bCs/>
          <w:szCs w:val="20"/>
          <w:lang w:eastAsia="tr-TR"/>
        </w:rPr>
        <w:t>Madde 2</w:t>
      </w:r>
      <w:r w:rsidRPr="00DE6314">
        <w:rPr>
          <w:rFonts w:ascii="Times New Roman" w:eastAsia="Courier New" w:hAnsi="Times New Roman" w:cs="Courier New"/>
          <w:szCs w:val="20"/>
          <w:lang w:eastAsia="tr-TR"/>
        </w:rPr>
        <w:t>- Serbest dolaşıma girişte dampinge karşı vergi, telafi edici vergi, gözetim ve miktar kısıtlaması (kota) şeklinde ticaret politikası önlemlerine tabi eşyanın tercihsiz menşei Gümrük Yönetmeliğinin 6 no.'lu</w:t>
      </w:r>
      <w:r w:rsidRPr="00DE6314">
        <w:rPr>
          <w:rFonts w:ascii="Times New Roman" w:eastAsia="Courier New" w:hAnsi="Times New Roman" w:cs="Courier New"/>
          <w:szCs w:val="20"/>
          <w:highlight w:val="yellow"/>
          <w:vertAlign w:val="superscript"/>
          <w:lang w:eastAsia="tr-TR"/>
        </w:rPr>
        <w:footnoteReference w:id="1"/>
      </w:r>
      <w:r w:rsidRPr="00DE6314">
        <w:rPr>
          <w:rFonts w:ascii="Times New Roman" w:eastAsia="Courier New" w:hAnsi="Times New Roman" w:cs="Courier New"/>
          <w:szCs w:val="20"/>
          <w:lang w:eastAsia="tr-TR"/>
        </w:rPr>
        <w:t xml:space="preserve"> </w:t>
      </w:r>
      <w:hyperlink r:id="rId14" w:history="1">
        <w:r w:rsidRPr="00DE6314">
          <w:rPr>
            <w:rFonts w:ascii="Times New Roman" w:eastAsia="Courier New" w:hAnsi="Times New Roman" w:cs="Courier New"/>
            <w:color w:val="0000FF"/>
            <w:szCs w:val="20"/>
            <w:u w:val="single"/>
            <w:lang w:eastAsia="tr-TR"/>
          </w:rPr>
          <w:t>ekinde</w:t>
        </w:r>
      </w:hyperlink>
      <w:r w:rsidRPr="00DE6314">
        <w:rPr>
          <w:rFonts w:ascii="Times New Roman" w:eastAsia="Courier New" w:hAnsi="Times New Roman" w:cs="Courier New"/>
          <w:szCs w:val="20"/>
          <w:lang w:eastAsia="tr-TR"/>
        </w:rPr>
        <w:t xml:space="preserve"> yer alan örneğe uygun "Menşe Şahadetnamesi" ile ispat olunur. Menşe şahadetnamesi, ticaret politikası önlemlerine tabi eşyanın serbest dolaşıma girişinde gümrük beyannamesinin düzenlendiği ortama (manuel/elektronik) bağlı olarak beyannamenin tescili veya kabulü sırasında gümrük idaresince aranır.</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b/>
          <w:bCs/>
          <w:szCs w:val="20"/>
          <w:lang w:eastAsia="tr-TR"/>
        </w:rPr>
      </w:pPr>
      <w:r w:rsidRPr="00DE6314">
        <w:rPr>
          <w:rFonts w:ascii="Times New Roman" w:eastAsia="Courier New" w:hAnsi="Times New Roman" w:cs="Courier New"/>
          <w:b/>
          <w:bCs/>
          <w:szCs w:val="20"/>
          <w:lang w:eastAsia="tr-TR"/>
        </w:rPr>
        <w:t>Mensucat cinsi eşya ithali</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r w:rsidRPr="00DE6314">
        <w:rPr>
          <w:rFonts w:ascii="Times New Roman" w:eastAsia="Courier New" w:hAnsi="Times New Roman" w:cs="Courier New"/>
          <w:b/>
          <w:bCs/>
          <w:szCs w:val="20"/>
          <w:lang w:eastAsia="tr-TR"/>
        </w:rPr>
        <w:t>Madde 3-</w:t>
      </w:r>
      <w:r w:rsidRPr="00DE6314">
        <w:rPr>
          <w:rFonts w:ascii="Times New Roman" w:eastAsia="Courier New" w:hAnsi="Times New Roman" w:cs="Courier New"/>
          <w:szCs w:val="20"/>
          <w:lang w:eastAsia="tr-TR"/>
        </w:rPr>
        <w:t xml:space="preserve"> Serbest dolaşıma giriş rejimi çerçevesinde beyanda bulunulan eşyanın dokumaya elverişli maddelerden mamul mensucat olması halinde ticaret politikası önlemlerine tabi olup olmadığına bakılmaksızın ithalatçı tarafından Ek-1'deki örneğe uygun olarak düzenlenen "Dokuma Kumaş Elyaf Detay Beyanı" ilgili gümrük idaresine ibraz edilir.</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b/>
          <w:bCs/>
          <w:szCs w:val="20"/>
          <w:lang w:eastAsia="tr-TR"/>
        </w:rPr>
      </w:pPr>
      <w:r w:rsidRPr="00DE6314">
        <w:rPr>
          <w:rFonts w:ascii="Times New Roman" w:eastAsia="Courier New" w:hAnsi="Times New Roman" w:cs="Courier New"/>
          <w:b/>
          <w:bCs/>
          <w:szCs w:val="20"/>
          <w:lang w:eastAsia="tr-TR"/>
        </w:rPr>
        <w:t>İstisnalar</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r w:rsidRPr="00DE6314">
        <w:rPr>
          <w:rFonts w:ascii="Times New Roman" w:eastAsia="Courier New" w:hAnsi="Times New Roman" w:cs="Courier New"/>
          <w:b/>
          <w:bCs/>
          <w:szCs w:val="20"/>
          <w:lang w:eastAsia="tr-TR"/>
        </w:rPr>
        <w:t>Madde 4-</w:t>
      </w:r>
      <w:r w:rsidRPr="00DE6314">
        <w:rPr>
          <w:rFonts w:ascii="Times New Roman" w:eastAsia="Courier New" w:hAnsi="Times New Roman" w:cs="Courier New"/>
          <w:szCs w:val="20"/>
          <w:lang w:eastAsia="tr-TR"/>
        </w:rPr>
        <w:t xml:space="preserve"> Serbest Ticaret Anlaşmaları çerçevesinde tercihli tarife uygulamasından faydalanmak maksadıyla eşyanın tercihli menşeini ispat için EUR.1 Dolaşım Sertifikası veya fatura beyanı ile Genelleştirilmiş Tercihler Sistemi çerçevesinde tercihli tarife uygulamasından faydalanmak amacıyla eşyanın tercihli menşeini tevsik eden Form A belgesinin ibraz edilmesi halinde menşe şahadetnamesi aranmaz.</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r w:rsidRPr="00DE6314">
        <w:rPr>
          <w:rFonts w:ascii="Times New Roman" w:eastAsia="Courier New" w:hAnsi="Times New Roman" w:cs="Courier New"/>
          <w:szCs w:val="20"/>
          <w:lang w:eastAsia="tr-TR"/>
        </w:rPr>
        <w:t xml:space="preserve">Türkiye - AB arasındaki gümrük birliği çerçevesinde eşyanın serbest dolaşım statüsünü tevsiken A.TR Dolaşım Belgesi ibraz edilmesi halinde, ithalata konu eşyanın gerçek menşeini belirleme konusunda ciddi ve somut gerekçelere dayanan tereddütlerin bulunması ve kesinlikle gerekli olması </w:t>
      </w:r>
      <w:hyperlink r:id="rId15" w:anchor="m038" w:history="1">
        <w:r w:rsidRPr="00DE6314">
          <w:rPr>
            <w:rFonts w:ascii="Times New Roman" w:eastAsia="Courier New" w:hAnsi="Times New Roman" w:cs="Courier New"/>
            <w:color w:val="0000FF"/>
            <w:szCs w:val="20"/>
            <w:u w:val="single"/>
            <w:lang w:eastAsia="tr-TR"/>
          </w:rPr>
          <w:t>durumu</w:t>
        </w:r>
      </w:hyperlink>
      <w:r w:rsidRPr="00DE6314">
        <w:rPr>
          <w:rFonts w:ascii="Times New Roman" w:eastAsia="Courier New" w:hAnsi="Times New Roman" w:cs="Courier New"/>
          <w:i/>
          <w:szCs w:val="20"/>
          <w:highlight w:val="yellow"/>
          <w:vertAlign w:val="superscript"/>
          <w:lang w:eastAsia="tr-TR"/>
        </w:rPr>
        <w:footnoteReference w:id="2"/>
      </w:r>
      <w:r w:rsidRPr="00DE6314">
        <w:rPr>
          <w:rFonts w:ascii="Times New Roman" w:eastAsia="Courier New" w:hAnsi="Times New Roman" w:cs="Courier New"/>
          <w:szCs w:val="20"/>
          <w:lang w:eastAsia="tr-TR"/>
        </w:rPr>
        <w:t xml:space="preserve"> saklı kalmak kaydıyla menşe şahadetnamesi </w:t>
      </w:r>
      <w:r w:rsidRPr="00DE6314">
        <w:rPr>
          <w:rFonts w:ascii="Times New Roman" w:eastAsia="Courier New" w:hAnsi="Times New Roman" w:cs="Courier New"/>
          <w:color w:val="000000"/>
          <w:szCs w:val="20"/>
          <w:lang w:eastAsia="tr-TR"/>
        </w:rPr>
        <w:t>aranmaz</w:t>
      </w:r>
      <w:r w:rsidRPr="00DE6314">
        <w:rPr>
          <w:rFonts w:ascii="Times New Roman" w:eastAsia="Courier New" w:hAnsi="Times New Roman" w:cs="Courier New"/>
          <w:szCs w:val="20"/>
          <w:lang w:eastAsia="tr-TR"/>
        </w:rPr>
        <w:t>.</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r w:rsidRPr="00DE6314">
        <w:rPr>
          <w:rFonts w:ascii="Times New Roman" w:eastAsia="Courier New" w:hAnsi="Times New Roman" w:cs="Courier New"/>
          <w:szCs w:val="20"/>
          <w:lang w:eastAsia="tr-TR"/>
        </w:rPr>
        <w:t>Doğrudan gözetim veya miktar kısıtlaması önleminin uygulandığı ülkeden ithal edilen ve ilgili mevzuatı uyarınca Gözetim Belgesi veya İthal Lisansı ibraz edilen eşyanın serbest dolaşıma girişinde menşe şahadetnamesi aranmaz.</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r w:rsidRPr="00DE6314">
        <w:rPr>
          <w:rFonts w:ascii="Times New Roman" w:eastAsia="Courier New" w:hAnsi="Times New Roman" w:cs="Courier New"/>
          <w:szCs w:val="20"/>
          <w:lang w:eastAsia="tr-TR"/>
        </w:rPr>
        <w:t>Ticari ve ticari olmayan numunelerin serbest dolaşıma girişinde bu Tebliğ hükümleri uygulanmaz.</w:t>
      </w:r>
    </w:p>
    <w:p w:rsidR="00DE6314" w:rsidRPr="00DE6314" w:rsidRDefault="00DE6314" w:rsidP="00DE6314">
      <w:pPr>
        <w:tabs>
          <w:tab w:val="left" w:pos="708"/>
        </w:tabs>
        <w:spacing w:before="120" w:after="0" w:line="240" w:lineRule="auto"/>
        <w:ind w:firstLine="709"/>
        <w:jc w:val="both"/>
        <w:rPr>
          <w:rFonts w:ascii="Times New Roman" w:eastAsia="Times New Roman" w:hAnsi="Times New Roman" w:cs="Times New Roman"/>
          <w:b/>
          <w:bCs/>
          <w:sz w:val="20"/>
          <w:szCs w:val="20"/>
          <w:lang w:eastAsia="tr-TR"/>
        </w:rPr>
      </w:pPr>
      <w:r w:rsidRPr="00DE6314">
        <w:rPr>
          <w:rFonts w:ascii="Times New Roman" w:eastAsia="Times New Roman" w:hAnsi="Times New Roman" w:cs="Times New Roman"/>
          <w:b/>
          <w:bCs/>
          <w:sz w:val="24"/>
          <w:szCs w:val="20"/>
          <w:lang w:eastAsia="tr-TR"/>
        </w:rPr>
        <w:t xml:space="preserve">Örme kumaş cinsi eşya ithali </w:t>
      </w:r>
    </w:p>
    <w:p w:rsidR="00DE6314" w:rsidRPr="00DE6314" w:rsidRDefault="00DE6314" w:rsidP="00DE6314">
      <w:pPr>
        <w:tabs>
          <w:tab w:val="left" w:pos="708"/>
        </w:tabs>
        <w:spacing w:before="120" w:after="0" w:line="240" w:lineRule="auto"/>
        <w:ind w:firstLine="709"/>
        <w:jc w:val="both"/>
        <w:rPr>
          <w:rFonts w:ascii="Times New Roman" w:eastAsia="Times New Roman" w:hAnsi="Times New Roman" w:cs="Times New Roman"/>
          <w:i/>
          <w:iCs/>
          <w:color w:val="FF0000"/>
          <w:sz w:val="18"/>
          <w:szCs w:val="20"/>
          <w:lang w:eastAsia="tr-TR"/>
        </w:rPr>
      </w:pPr>
      <w:r w:rsidRPr="00DE6314">
        <w:rPr>
          <w:rFonts w:ascii="Times New Roman" w:eastAsia="Times New Roman" w:hAnsi="Times New Roman" w:cs="Times New Roman"/>
          <w:b/>
          <w:bCs/>
          <w:szCs w:val="24"/>
          <w:lang w:eastAsia="tr-TR"/>
        </w:rPr>
        <w:t>Ek Madde 1-</w:t>
      </w:r>
      <w:r w:rsidRPr="00DE6314">
        <w:rPr>
          <w:rFonts w:ascii="Times New Roman" w:eastAsia="Times New Roman" w:hAnsi="Times New Roman" w:cs="Times New Roman"/>
          <w:szCs w:val="24"/>
          <w:lang w:eastAsia="tr-TR"/>
        </w:rPr>
        <w:t xml:space="preserve"> Serbest dolaşıma giriş rejimi çerçevesinde beyanda bulunulan eşyanın örme kumaş cinsi eşya olması halinde ithalatçı tarafından </w:t>
      </w:r>
      <w:hyperlink r:id="rId16" w:anchor="ek2" w:history="1">
        <w:r w:rsidRPr="00DE6314">
          <w:rPr>
            <w:rFonts w:ascii="Times New Roman" w:eastAsia="Courier New" w:hAnsi="Times New Roman" w:cs="Times New Roman"/>
            <w:color w:val="0000FF"/>
            <w:szCs w:val="24"/>
            <w:u w:val="single"/>
            <w:lang w:eastAsia="tr-TR"/>
          </w:rPr>
          <w:t>Ek-2'deki örneğe</w:t>
        </w:r>
      </w:hyperlink>
      <w:r w:rsidRPr="00DE6314">
        <w:rPr>
          <w:rFonts w:ascii="Times New Roman" w:eastAsia="Times New Roman" w:hAnsi="Times New Roman" w:cs="Times New Roman"/>
          <w:szCs w:val="24"/>
          <w:lang w:eastAsia="tr-TR"/>
        </w:rPr>
        <w:t xml:space="preserve"> uygun olarak düzenlenecek "Örme Kumaş Elyaf Detay Beyanı" ilgili gümrük idaresine ibraz edilir.</w:t>
      </w:r>
      <w:r w:rsidRPr="00DE6314">
        <w:rPr>
          <w:rFonts w:ascii="Times New Roman" w:eastAsia="Times New Roman" w:hAnsi="Times New Roman" w:cs="Times New Roman"/>
          <w:i/>
          <w:iCs/>
          <w:color w:val="FF0000"/>
          <w:sz w:val="20"/>
          <w:szCs w:val="24"/>
          <w:lang w:eastAsia="tr-TR"/>
        </w:rPr>
        <w:t xml:space="preserve"> </w:t>
      </w:r>
    </w:p>
    <w:p w:rsidR="00DE6314" w:rsidRPr="00DE6314" w:rsidRDefault="00DE6314" w:rsidP="00DE6314">
      <w:pPr>
        <w:pageBreakBefore/>
        <w:tabs>
          <w:tab w:val="left" w:pos="708"/>
        </w:tabs>
        <w:spacing w:before="120" w:after="0" w:line="240" w:lineRule="auto"/>
        <w:ind w:firstLine="709"/>
        <w:jc w:val="both"/>
        <w:rPr>
          <w:rFonts w:ascii="Times New Roman" w:eastAsia="Times New Roman" w:hAnsi="Times New Roman" w:cs="Times New Roman"/>
          <w:lang w:eastAsia="tr-TR"/>
        </w:rPr>
      </w:pPr>
      <w:r w:rsidRPr="00DE6314">
        <w:rPr>
          <w:rFonts w:ascii="Times New Roman" w:eastAsia="Times New Roman" w:hAnsi="Times New Roman" w:cs="Times New Roman"/>
          <w:b/>
          <w:lang w:eastAsia="tr-TR"/>
        </w:rPr>
        <w:t xml:space="preserve">Uzun elyaf, kısa elyaf ve filament iplikler </w:t>
      </w:r>
    </w:p>
    <w:p w:rsidR="00DE6314" w:rsidRPr="00DE6314" w:rsidRDefault="00DE6314" w:rsidP="00DE6314">
      <w:pPr>
        <w:tabs>
          <w:tab w:val="left" w:pos="708"/>
        </w:tabs>
        <w:spacing w:before="120" w:after="0" w:line="240" w:lineRule="auto"/>
        <w:ind w:firstLine="709"/>
        <w:jc w:val="both"/>
        <w:rPr>
          <w:rFonts w:ascii="Times New Roman" w:eastAsia="Times New Roman" w:hAnsi="Times New Roman" w:cs="Times New Roman"/>
          <w:lang w:eastAsia="tr-TR"/>
        </w:rPr>
      </w:pPr>
      <w:r w:rsidRPr="00DE6314">
        <w:rPr>
          <w:rFonts w:ascii="Times New Roman" w:eastAsia="Times New Roman" w:hAnsi="Times New Roman" w:cs="Times New Roman"/>
          <w:b/>
          <w:lang w:eastAsia="tr-TR"/>
        </w:rPr>
        <w:t>EK MADDE 2 –</w:t>
      </w:r>
      <w:r w:rsidRPr="00DE6314">
        <w:rPr>
          <w:rFonts w:ascii="Times New Roman" w:eastAsia="Times New Roman" w:hAnsi="Times New Roman" w:cs="Times New Roman"/>
          <w:lang w:eastAsia="tr-TR"/>
        </w:rPr>
        <w:t xml:space="preserve"> </w:t>
      </w:r>
      <w:r w:rsidRPr="00DE6314">
        <w:rPr>
          <w:rFonts w:ascii="Times New Roman" w:eastAsia="Times New Roman" w:hAnsi="Times New Roman" w:cs="Times New Roman"/>
          <w:spacing w:val="-5"/>
          <w:lang w:eastAsia="tr-TR"/>
        </w:rPr>
        <w:t>Serbest dolaşıma giriş rejimi çerçevesinde beyanda bulunulan eşyanın</w:t>
      </w:r>
      <w:r w:rsidRPr="00DE6314">
        <w:rPr>
          <w:rFonts w:ascii="Times New Roman" w:eastAsia="Times New Roman" w:hAnsi="Times New Roman" w:cs="Times New Roman"/>
          <w:lang w:eastAsia="tr-TR"/>
        </w:rPr>
        <w:t xml:space="preserve"> uzun elyaf, kısa elyaf ve filament iplik cinsi eşya olması halinde ithalatçı tarafından Ek-3 ve Ek-4’deki örneğe uygun olarak düzenlenecek "İplik Detay Beyanı" ve "Elyaf Detay Beyanı" ilgili gümrük idaresine ibraz edilir.</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r w:rsidRPr="00DE6314">
        <w:rPr>
          <w:rFonts w:ascii="Times New Roman" w:eastAsia="Courier New" w:hAnsi="Times New Roman" w:cs="Courier New"/>
          <w:b/>
          <w:bCs/>
          <w:szCs w:val="20"/>
          <w:lang w:eastAsia="tr-TR"/>
        </w:rPr>
        <w:t>Geçici Madde 1-</w:t>
      </w:r>
      <w:r w:rsidRPr="00DE6314">
        <w:rPr>
          <w:rFonts w:ascii="Times New Roman" w:eastAsia="Courier New" w:hAnsi="Times New Roman" w:cs="Courier New"/>
          <w:szCs w:val="20"/>
          <w:lang w:eastAsia="tr-TR"/>
        </w:rPr>
        <w:t xml:space="preserve"> Bu Tebliğin yürürlüğe girdiği tarihten önce çıkış ülkesinde ihracat amacıyla taşıma belgesi düzenlenmiş veya gümrük idarelerine sunulmuş olan eşyanın serbest dolaşıma girişinde bu Tebliğ hükümleri uygulanmaz.</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b/>
          <w:bCs/>
          <w:szCs w:val="20"/>
          <w:lang w:eastAsia="tr-TR"/>
        </w:rPr>
      </w:pPr>
      <w:r w:rsidRPr="00DE6314">
        <w:rPr>
          <w:rFonts w:ascii="Times New Roman" w:eastAsia="Courier New" w:hAnsi="Times New Roman" w:cs="Courier New"/>
          <w:b/>
          <w:bCs/>
          <w:szCs w:val="20"/>
          <w:lang w:eastAsia="tr-TR"/>
        </w:rPr>
        <w:t>Yürürlük</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r w:rsidRPr="00DE6314">
        <w:rPr>
          <w:rFonts w:ascii="Times New Roman" w:eastAsia="Courier New" w:hAnsi="Times New Roman" w:cs="Courier New"/>
          <w:b/>
          <w:bCs/>
          <w:szCs w:val="20"/>
          <w:lang w:eastAsia="tr-TR"/>
        </w:rPr>
        <w:t>Madde 5-</w:t>
      </w:r>
      <w:r w:rsidRPr="00DE6314">
        <w:rPr>
          <w:rFonts w:ascii="Times New Roman" w:eastAsia="Courier New" w:hAnsi="Times New Roman" w:cs="Courier New"/>
          <w:szCs w:val="20"/>
          <w:lang w:eastAsia="tr-TR"/>
        </w:rPr>
        <w:t xml:space="preserve"> Bu Tebliğ yayımı tarihinde yürürlüğe girer.</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b/>
          <w:bCs/>
          <w:szCs w:val="20"/>
          <w:lang w:eastAsia="tr-TR"/>
        </w:rPr>
      </w:pPr>
      <w:r w:rsidRPr="00DE6314">
        <w:rPr>
          <w:rFonts w:ascii="Times New Roman" w:eastAsia="Courier New" w:hAnsi="Times New Roman" w:cs="Courier New"/>
          <w:b/>
          <w:bCs/>
          <w:szCs w:val="20"/>
          <w:lang w:eastAsia="tr-TR"/>
        </w:rPr>
        <w:t>Yürütme</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r w:rsidRPr="00DE6314">
        <w:rPr>
          <w:rFonts w:ascii="Times New Roman" w:eastAsia="Courier New" w:hAnsi="Times New Roman" w:cs="Courier New"/>
          <w:b/>
          <w:bCs/>
          <w:szCs w:val="20"/>
          <w:lang w:eastAsia="tr-TR"/>
        </w:rPr>
        <w:t>Madde 6-</w:t>
      </w:r>
      <w:r w:rsidRPr="00DE6314">
        <w:rPr>
          <w:rFonts w:ascii="Times New Roman" w:eastAsia="Courier New" w:hAnsi="Times New Roman" w:cs="Courier New"/>
          <w:szCs w:val="20"/>
          <w:lang w:eastAsia="tr-TR"/>
        </w:rPr>
        <w:t xml:space="preserve"> Bu Tebliğ hükümlerini Gümrük Müsteşarlığının bağlı olduğu Bakan yürütür.</w:t>
      </w: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p>
    <w:p w:rsidR="00DE6314" w:rsidRPr="00DE6314" w:rsidRDefault="00DE6314" w:rsidP="00DE6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firstLine="709"/>
        <w:jc w:val="both"/>
        <w:rPr>
          <w:rFonts w:ascii="Times New Roman" w:eastAsia="Courier New" w:hAnsi="Times New Roman" w:cs="Courier New"/>
          <w:szCs w:val="20"/>
          <w:lang w:eastAsia="tr-TR"/>
        </w:rPr>
      </w:pPr>
    </w:p>
    <w:p w:rsidR="00DE6314" w:rsidRDefault="00DE6314"/>
    <w:sectPr w:rsidR="00DE63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EBA" w:rsidRDefault="009A3EBA" w:rsidP="00DE6314">
      <w:pPr>
        <w:spacing w:after="0" w:line="240" w:lineRule="auto"/>
      </w:pPr>
      <w:r>
        <w:separator/>
      </w:r>
    </w:p>
  </w:endnote>
  <w:endnote w:type="continuationSeparator" w:id="0">
    <w:p w:rsidR="009A3EBA" w:rsidRDefault="009A3EBA" w:rsidP="00DE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EBA" w:rsidRDefault="009A3EBA" w:rsidP="00DE6314">
      <w:pPr>
        <w:spacing w:after="0" w:line="240" w:lineRule="auto"/>
      </w:pPr>
      <w:r>
        <w:separator/>
      </w:r>
    </w:p>
  </w:footnote>
  <w:footnote w:type="continuationSeparator" w:id="0">
    <w:p w:rsidR="009A3EBA" w:rsidRDefault="009A3EBA" w:rsidP="00DE6314">
      <w:pPr>
        <w:spacing w:after="0" w:line="240" w:lineRule="auto"/>
      </w:pPr>
      <w:r>
        <w:continuationSeparator/>
      </w:r>
    </w:p>
  </w:footnote>
  <w:footnote w:id="1">
    <w:p w:rsidR="00DE6314" w:rsidRDefault="00DE6314" w:rsidP="00DE6314">
      <w:pPr>
        <w:pStyle w:val="DipnotMetni"/>
        <w:tabs>
          <w:tab w:val="left" w:pos="708"/>
        </w:tabs>
      </w:pPr>
      <w:r>
        <w:rPr>
          <w:rStyle w:val="DipnotBavurusu"/>
        </w:rPr>
        <w:footnoteRef/>
      </w:r>
      <w:r>
        <w:t xml:space="preserve"> PcGK Not: Mer’i Yönetmeliğin 7 no’lu eki</w:t>
      </w:r>
    </w:p>
  </w:footnote>
  <w:footnote w:id="2">
    <w:p w:rsidR="00DE6314" w:rsidRDefault="00DE6314" w:rsidP="00DE6314">
      <w:pPr>
        <w:pStyle w:val="DipnotMetni"/>
        <w:tabs>
          <w:tab w:val="left" w:pos="708"/>
        </w:tabs>
      </w:pPr>
      <w:r>
        <w:rPr>
          <w:rStyle w:val="DipnotBavurusu"/>
        </w:rPr>
        <w:footnoteRef/>
      </w:r>
      <w:r>
        <w:t xml:space="preserve"> PcGK Not: 24.05.2019 tarihinde Gümrük Yönetmeliğinin 38 ve 205.maddelerinde yapılan değişiklikler sonrası İGV ve EMY uygulamalarında BİLGE sisteminde menşe belgesinin istenilmesi durumu buna örnek gösterilebilir.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ED6BA2"/>
    <w:multiLevelType w:val="hybridMultilevel"/>
    <w:tmpl w:val="ED1E5AB8"/>
    <w:lvl w:ilvl="0" w:tplc="041F0007">
      <w:start w:val="1"/>
      <w:numFmt w:val="bullet"/>
      <w:lvlText w:val=""/>
      <w:lvlJc w:val="left"/>
      <w:pPr>
        <w:tabs>
          <w:tab w:val="num" w:pos="720"/>
        </w:tabs>
        <w:ind w:left="720" w:hanging="360"/>
      </w:pPr>
      <w:rPr>
        <w:rFonts w:ascii="Wingdings" w:hAnsi="Wingdings" w:hint="default"/>
        <w:sz w:val="16"/>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269"/>
    <w:rsid w:val="001F4269"/>
    <w:rsid w:val="009A3EBA"/>
    <w:rsid w:val="00A837F4"/>
    <w:rsid w:val="00DE63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5029"/>
  <w15:chartTrackingRefBased/>
  <w15:docId w15:val="{EDB683AA-57F2-4B43-ACD4-1591C3235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DE6314"/>
    <w:rPr>
      <w:color w:val="0000FF"/>
      <w:u w:val="single"/>
    </w:rPr>
  </w:style>
  <w:style w:type="paragraph" w:styleId="DipnotMetni">
    <w:name w:val="footnote text"/>
    <w:basedOn w:val="Normal"/>
    <w:link w:val="DipnotMetniChar"/>
    <w:semiHidden/>
    <w:unhideWhenUsed/>
    <w:rsid w:val="00DE6314"/>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semiHidden/>
    <w:rsid w:val="00DE6314"/>
    <w:rPr>
      <w:rFonts w:ascii="Times New Roman" w:eastAsia="Times New Roman" w:hAnsi="Times New Roman" w:cs="Times New Roman"/>
      <w:sz w:val="20"/>
      <w:szCs w:val="20"/>
      <w:lang w:eastAsia="tr-TR"/>
    </w:rPr>
  </w:style>
  <w:style w:type="character" w:styleId="DipnotBavurusu">
    <w:name w:val="footnote reference"/>
    <w:semiHidden/>
    <w:unhideWhenUsed/>
    <w:rsid w:val="00DE63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60626">
      <w:bodyDiv w:val="1"/>
      <w:marLeft w:val="0"/>
      <w:marRight w:val="0"/>
      <w:marTop w:val="0"/>
      <w:marBottom w:val="0"/>
      <w:divBdr>
        <w:top w:val="none" w:sz="0" w:space="0" w:color="auto"/>
        <w:left w:val="none" w:sz="0" w:space="0" w:color="auto"/>
        <w:bottom w:val="none" w:sz="0" w:space="0" w:color="auto"/>
        <w:right w:val="none" w:sz="0" w:space="0" w:color="auto"/>
      </w:divBdr>
    </w:div>
    <w:div w:id="148716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Program%20Files\PCGumruk\G&#252;mr&#252;k%20Mevzuat&#305;\Dosyalar\Di&#287;er%20Tebli&#287;ler\Elyaf-tow-tops%20Ref.%202009%20Mart%20g&#252;ncelleme.xls" TargetMode="External"/><Relationship Id="rId13" Type="http://schemas.openxmlformats.org/officeDocument/2006/relationships/hyperlink" Target="file:///C:\Program%20Files\PCGumruk\G&#252;mr&#252;k%20Mevzuat&#305;\G&#252;mr&#252;k%20Kanunu%20.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Program%20Files\PCGumruk\G&#252;mr&#252;k%20Mevzuat&#305;\Dosyalar\Di&#287;er%20Tebli&#287;ler\&#304;PL&#304;K%20REF%20(2009%20MART%20%20Elyaf%20g&#252;ncelleme%20).xls" TargetMode="External"/><Relationship Id="rId12" Type="http://schemas.openxmlformats.org/officeDocument/2006/relationships/hyperlink" Target="file:///C:\Program%20Files\PCGumruk\G&#252;mr&#252;k%20Mevzuat&#305;\G&#252;mr&#252;k%20Kanunu%20.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Program%20Files\PCGumruk\G&#252;mr&#252;k%20Mevzuat&#305;\Dosyalar\Di&#287;er%20Tebli&#287;ler\G%20G%20T%20De&#287;i&#351;iklik%20Yap&#305;lmas&#305;na%20Dair%20Tebli&#287;%20(Serbest%20Dola&#351;&#305;ma%20Giri&#351;)%20Seri%20No%204.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Program%20Files\PCGumruk\G&#252;mr&#252;k%20Mevzuat&#305;\Dosyalar\Di&#287;er%20Tebli&#287;ler\Mamul%20&#214;rg&#252;%20Kuma&#351;%2017.01.2014%20tarihinden%20sonra%20ge&#231;erli%20olan%20referans%20tablosu.xls" TargetMode="External"/><Relationship Id="rId5" Type="http://schemas.openxmlformats.org/officeDocument/2006/relationships/footnotes" Target="footnotes.xml"/><Relationship Id="rId15" Type="http://schemas.openxmlformats.org/officeDocument/2006/relationships/hyperlink" Target="file:///C:\Program%20Files\PCGumruk\G&#252;mr&#252;k%20Mevzuat&#305;\Dosyalar\Y&#246;netmelik%202009\G&#252;mr&#252;k%20Y&#246;netmeli&#287;i%2008.10.2009.doc" TargetMode="External"/><Relationship Id="rId10" Type="http://schemas.openxmlformats.org/officeDocument/2006/relationships/hyperlink" Target="file:///C:\Program%20Files\PCGumruk\G&#252;mr&#252;k%20Mevzuat&#305;\Dosyalar\Di&#287;er%20Tebli&#287;ler\Ham%20&#214;rg&#252;%20Kuma&#351;%202009%20Mart%20tarihinden%20sonra%20ge&#231;erli%20olan%20referans%20tablosu.xls" TargetMode="External"/><Relationship Id="rId4" Type="http://schemas.openxmlformats.org/officeDocument/2006/relationships/webSettings" Target="webSettings.xml"/><Relationship Id="rId9" Type="http://schemas.openxmlformats.org/officeDocument/2006/relationships/hyperlink" Target="file:///C:\Program%20Files\PCGumruk\G&#252;mr&#252;k%20Mevzuat&#305;\Dosyalar\Di&#287;er%20Tebli&#287;ler\DOK.KUMAS%20REF.%202009%20Mart%20Elyaf%20g&#252;ncelleme).xls" TargetMode="External"/><Relationship Id="rId14" Type="http://schemas.openxmlformats.org/officeDocument/2006/relationships/hyperlink" Target="file:///C:\Program%20Files\PCGumruk\G&#252;mr&#252;k%20Mevzuat&#305;\Dosyalar\Y&#246;netmelik%202009\EK%2007.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808</Words>
  <Characters>4609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2</cp:revision>
  <dcterms:created xsi:type="dcterms:W3CDTF">2020-11-18T21:23:00Z</dcterms:created>
  <dcterms:modified xsi:type="dcterms:W3CDTF">2020-11-18T21:23:00Z</dcterms:modified>
</cp:coreProperties>
</file>