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A27952" w:rsidRPr="00A27952">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072"/>
            </w:tblGrid>
            <w:tr w:rsidR="00A27952" w:rsidRPr="00A27952">
              <w:tc>
                <w:tcPr>
                  <w:tcW w:w="5000" w:type="pct"/>
                  <w:tcBorders>
                    <w:top w:val="nil"/>
                    <w:left w:val="nil"/>
                    <w:bottom w:val="nil"/>
                    <w:right w:val="nil"/>
                  </w:tcBorders>
                  <w:vAlign w:val="center"/>
                  <w:hideMark/>
                </w:tcPr>
                <w:p w:rsidR="00A27952" w:rsidRPr="00A27952" w:rsidRDefault="00A27952" w:rsidP="00A27952">
                  <w:pPr>
                    <w:spacing w:before="100" w:beforeAutospacing="1" w:after="100" w:afterAutospacing="1"/>
                    <w:jc w:val="center"/>
                    <w:rPr>
                      <w:rFonts w:ascii="Arial" w:hAnsi="Arial"/>
                      <w:color w:val="000000"/>
                      <w:sz w:val="18"/>
                      <w:szCs w:val="18"/>
                    </w:rPr>
                  </w:pPr>
                  <w:bookmarkStart w:id="0" w:name="_GoBack"/>
                  <w:bookmarkEnd w:id="0"/>
                  <w:r w:rsidRPr="00A27952">
                    <w:rPr>
                      <w:rFonts w:cs="Times New Roman"/>
                      <w:b/>
                      <w:bCs/>
                      <w:color w:val="000000"/>
                      <w:sz w:val="18"/>
                      <w:szCs w:val="18"/>
                    </w:rPr>
                    <w:t>.C.</w:t>
                  </w:r>
                </w:p>
                <w:p w:rsidR="00A27952" w:rsidRPr="00A27952" w:rsidRDefault="00A27952" w:rsidP="00A27952">
                  <w:pPr>
                    <w:spacing w:before="100" w:beforeAutospacing="1" w:after="100" w:afterAutospacing="1"/>
                    <w:jc w:val="center"/>
                    <w:rPr>
                      <w:rFonts w:ascii="Arial" w:hAnsi="Arial"/>
                      <w:color w:val="000000"/>
                      <w:sz w:val="18"/>
                      <w:szCs w:val="18"/>
                    </w:rPr>
                  </w:pPr>
                  <w:r w:rsidRPr="00A27952">
                    <w:rPr>
                      <w:rFonts w:cs="Times New Roman"/>
                      <w:b/>
                      <w:bCs/>
                      <w:color w:val="000000"/>
                      <w:sz w:val="18"/>
                      <w:szCs w:val="18"/>
                    </w:rPr>
                    <w:t>GÜMRÜK VE TİCARET BAKANLIĞI</w:t>
                  </w:r>
                </w:p>
                <w:p w:rsidR="00A27952" w:rsidRPr="00A27952" w:rsidRDefault="00A27952" w:rsidP="00A27952">
                  <w:pPr>
                    <w:spacing w:before="100" w:beforeAutospacing="1" w:after="100" w:afterAutospacing="1"/>
                    <w:jc w:val="center"/>
                    <w:rPr>
                      <w:rFonts w:ascii="Arial" w:hAnsi="Arial"/>
                      <w:color w:val="000000"/>
                      <w:sz w:val="18"/>
                      <w:szCs w:val="18"/>
                    </w:rPr>
                  </w:pPr>
                  <w:r w:rsidRPr="00A27952">
                    <w:rPr>
                      <w:rFonts w:cs="Times New Roman"/>
                      <w:b/>
                      <w:bCs/>
                      <w:color w:val="000000"/>
                      <w:sz w:val="18"/>
                      <w:szCs w:val="18"/>
                    </w:rPr>
                    <w:t>Gümrükler Genel Müdürlüğü</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b/>
                      <w:bCs/>
                      <w:color w:val="000000"/>
                      <w:sz w:val="18"/>
                      <w:szCs w:val="18"/>
                    </w:rPr>
                    <w:t>Sayı     :</w:t>
                  </w:r>
                  <w:r w:rsidRPr="00A27952">
                    <w:rPr>
                      <w:rFonts w:cs="Times New Roman"/>
                      <w:color w:val="000000"/>
                      <w:sz w:val="18"/>
                      <w:szCs w:val="18"/>
                    </w:rPr>
                    <w:t>17474625-109                                                                                             ..../..... /2017</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b/>
                      <w:bCs/>
                      <w:color w:val="000000"/>
                      <w:sz w:val="18"/>
                      <w:szCs w:val="18"/>
                    </w:rPr>
                    <w:t>Konu   :</w:t>
                  </w:r>
                  <w:r w:rsidRPr="00A27952">
                    <w:rPr>
                      <w:rFonts w:cs="Times New Roman"/>
                      <w:color w:val="000000"/>
                      <w:sz w:val="18"/>
                      <w:szCs w:val="18"/>
                    </w:rPr>
                    <w:t>Akaryakıt Ürünlerinde GTİP Tespiti</w:t>
                  </w:r>
                </w:p>
                <w:p w:rsidR="00A27952" w:rsidRPr="00A27952" w:rsidRDefault="00A27952" w:rsidP="00A27952">
                  <w:pPr>
                    <w:spacing w:before="100" w:beforeAutospacing="1" w:after="100" w:afterAutospacing="1"/>
                    <w:jc w:val="center"/>
                    <w:rPr>
                      <w:rFonts w:ascii="Arial" w:hAnsi="Arial"/>
                      <w:color w:val="000000"/>
                      <w:sz w:val="18"/>
                      <w:szCs w:val="18"/>
                    </w:rPr>
                  </w:pPr>
                  <w:r w:rsidRPr="00A27952">
                    <w:rPr>
                      <w:rFonts w:cs="Times New Roman"/>
                      <w:b/>
                      <w:bCs/>
                      <w:color w:val="000000"/>
                      <w:sz w:val="18"/>
                      <w:szCs w:val="18"/>
                    </w:rPr>
                    <w:t> </w:t>
                  </w:r>
                </w:p>
                <w:p w:rsidR="00A27952" w:rsidRPr="00A27952" w:rsidRDefault="00A27952" w:rsidP="00A27952">
                  <w:pPr>
                    <w:spacing w:before="100" w:beforeAutospacing="1" w:after="100" w:afterAutospacing="1"/>
                    <w:jc w:val="center"/>
                    <w:rPr>
                      <w:rFonts w:ascii="Arial" w:hAnsi="Arial"/>
                      <w:color w:val="000000"/>
                      <w:sz w:val="18"/>
                      <w:szCs w:val="18"/>
                    </w:rPr>
                  </w:pPr>
                  <w:r w:rsidRPr="00A27952">
                    <w:rPr>
                      <w:rFonts w:cs="Times New Roman"/>
                      <w:b/>
                      <w:bCs/>
                      <w:color w:val="000000"/>
                      <w:sz w:val="18"/>
                      <w:szCs w:val="18"/>
                    </w:rPr>
                    <w:t>03.07.2017 / 26144056</w:t>
                  </w:r>
                </w:p>
                <w:p w:rsidR="00A27952" w:rsidRPr="00A27952" w:rsidRDefault="00A27952" w:rsidP="00A27952">
                  <w:pPr>
                    <w:spacing w:before="100" w:beforeAutospacing="1" w:after="100" w:afterAutospacing="1"/>
                    <w:jc w:val="center"/>
                    <w:rPr>
                      <w:rFonts w:ascii="Arial" w:hAnsi="Arial"/>
                      <w:color w:val="000000"/>
                      <w:sz w:val="18"/>
                      <w:szCs w:val="18"/>
                    </w:rPr>
                  </w:pPr>
                  <w:r w:rsidRPr="00A27952">
                    <w:rPr>
                      <w:rFonts w:cs="Times New Roman"/>
                      <w:b/>
                      <w:bCs/>
                      <w:color w:val="000000"/>
                      <w:sz w:val="18"/>
                      <w:szCs w:val="18"/>
                    </w:rPr>
                    <w:t>GENELGE</w:t>
                  </w:r>
                </w:p>
                <w:p w:rsidR="00A27952" w:rsidRPr="00A27952" w:rsidRDefault="00A27952" w:rsidP="00A27952">
                  <w:pPr>
                    <w:spacing w:before="100" w:beforeAutospacing="1" w:after="100" w:afterAutospacing="1"/>
                    <w:jc w:val="center"/>
                    <w:rPr>
                      <w:rFonts w:ascii="Arial" w:hAnsi="Arial"/>
                      <w:color w:val="000000"/>
                      <w:sz w:val="18"/>
                      <w:szCs w:val="18"/>
                    </w:rPr>
                  </w:pPr>
                  <w:r w:rsidRPr="00A27952">
                    <w:rPr>
                      <w:rFonts w:cs="Times New Roman"/>
                      <w:b/>
                      <w:bCs/>
                      <w:color w:val="000000"/>
                      <w:sz w:val="18"/>
                      <w:szCs w:val="18"/>
                    </w:rPr>
                    <w:t>(2017/….)</w:t>
                  </w:r>
                </w:p>
                <w:p w:rsidR="00A27952" w:rsidRPr="00A27952" w:rsidRDefault="00A27952" w:rsidP="00A27952">
                  <w:pPr>
                    <w:spacing w:before="100" w:beforeAutospacing="1" w:after="100" w:afterAutospacing="1"/>
                    <w:jc w:val="center"/>
                    <w:rPr>
                      <w:rFonts w:ascii="Arial" w:hAnsi="Arial"/>
                      <w:color w:val="000000"/>
                      <w:sz w:val="18"/>
                      <w:szCs w:val="18"/>
                    </w:rPr>
                  </w:pPr>
                  <w:r w:rsidRPr="00A27952">
                    <w:rPr>
                      <w:rFonts w:cs="Times New Roman"/>
                      <w:b/>
                      <w:bCs/>
                      <w:color w:val="000000"/>
                      <w:sz w:val="18"/>
                      <w:szCs w:val="18"/>
                    </w:rPr>
                    <w:t> </w:t>
                  </w:r>
                </w:p>
                <w:p w:rsidR="00A27952" w:rsidRPr="00A27952" w:rsidRDefault="00A27952" w:rsidP="00A27952">
                  <w:pPr>
                    <w:spacing w:before="100" w:beforeAutospacing="1" w:after="100" w:afterAutospacing="1"/>
                    <w:jc w:val="center"/>
                    <w:rPr>
                      <w:rFonts w:ascii="Arial" w:hAnsi="Arial"/>
                      <w:color w:val="000000"/>
                      <w:sz w:val="18"/>
                      <w:szCs w:val="18"/>
                    </w:rPr>
                  </w:pPr>
                  <w:r w:rsidRPr="00A27952">
                    <w:rPr>
                      <w:rFonts w:cs="Times New Roman"/>
                      <w:b/>
                      <w:bCs/>
                      <w:color w:val="000000"/>
                      <w:sz w:val="18"/>
                      <w:szCs w:val="18"/>
                    </w:rPr>
                    <w:t> </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color w:val="000000"/>
                      <w:sz w:val="18"/>
                      <w:szCs w:val="18"/>
                    </w:rPr>
                    <w:t>İthalat ve ihracata konu eşya, Bakanlığımız ve muhtelif kamu kurumlarının uygulamakla yükümlü olduğu mevzuat çerçevesinde tahlile tabi tutulabilmektedir. Aynı eşyanın muhtelif kamu kurumlarınca tahlile tabi tutulması ithalatçılar ve ihracatçılara ilave yükler getirmekte ayrıca kamu kaynaklarının israfına sebebiyet vermektedir. Dış ticarete konu eşyanın tahlillerinin tek aşamada yapılarak, bir kurum tarafından ulaşılan sonuçların diğer kurumlarca da kullanılabilmesi bahsi geçen olumsuzlukların önlenmesi bakımından önem arz etmektedir.</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color w:val="000000"/>
                      <w:sz w:val="18"/>
                      <w:szCs w:val="18"/>
                    </w:rPr>
                    <w:t>10.09.2004 tarihli ve 25579 sayılı Resmi Gazete’de yayımlanan Petrol Piyasasında Uygulanacak Teknik Kriterler Hakkında Yönetmeliğin 31.12.2014 tarihli 29222 sayılı (4. Mükerrer)Resmi Gazete'de yayımlanan Petrol Piyasasında Uygulanacak Teknik Kriterler Hakkında Yönetmelikte Değişiklik Yapılmasına Dair Yönetmelik ile değişik dokuzuncu fıkrasında; "Numunenin alındığı depo ve mühür bilgilerinin de kaydedildiği analiz raporu; laboratuvar yetkilileri ve raporu ibrazla yükümlü kişilerce imzalanır. Analiz raporları veya üçüncü fıkrada yer alan belgeler; gümrük girişinde, gümrük beyannamesine, diğer hallerde 4/1/1961 tarihli ve 213 sayılı Vergi Usul Kanununa göre tanzimi gereken ilk belgeye eklenir..." denilmektedir.</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color w:val="000000"/>
                      <w:sz w:val="18"/>
                      <w:szCs w:val="18"/>
                    </w:rPr>
                    <w:t>Diğer taraftan anılan Yönetmeliğin 25.04.2007 tarihli 26503 sayılı Resmi Gazete'de yayımlanan Petrol Piyasasında Uygulanacak Teknik Kriterler Hakkında Yönetmelikte Değişiklik Yapılmasına Dair Yönetmelik ile değişik dördüncü fıkrası; “Numunelerin analizi, Türk Akreditasyon Kurumu veya uluslararası karşılıklı tanıma anlaşmasına imza atmış ve tanınırlığı olan akreditasyon kuruluşları tarafından ilgili deney yöntemlerinde akredite edilmiş sabit ve gezici laboratuarlar vasıtasıyla yapılır” denilmektedir.</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color w:val="000000"/>
                      <w:sz w:val="18"/>
                      <w:szCs w:val="18"/>
                    </w:rPr>
                    <w:t>Bu bağlamda; Gümrük Yönetmeliğinin 201 inci maddesi beşinci fıkrasında; "Diğer kamu kurum ve kuruluşlarınca kendi mevzuatları gereği yapılan ve yaptırılan tahlillere ilişkin raporların gümrük laboratuvarlarına ibrazı durumunda, hangi hallerde yeniden tahlil yapılmayarak ibraz edilen tahlil sonuçları üzerinden laboratuvar raporu düzenleneceğine ilişkin usul ve esaslar Bakanlıkça belirlenir." hükmü yer almaktadır.</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color w:val="000000"/>
                      <w:sz w:val="18"/>
                      <w:szCs w:val="18"/>
                    </w:rPr>
                    <w:lastRenderedPageBreak/>
                    <w:t>Bu çerçevede, akaryakıt ürünlerinin GTİP tespitine yönelik olarak, Petrol Piyasasında Uygulanacak Teknik Kriterler Hakkındaki Yönetmelik hükümleri uyarınca yurt içindeki akredite laboratuvarlar tarafından düzenlenen analiz raporlarının tarih ve sayısının, yükümlüsünce gümrük beyannamesinin 44 nolu hanesinde açık bir şekilde beyan edilmesi ve ilgili gümrük müdürlüğüne beyanname ekinde mezkur analiz raporunun aslı veya analizi yapan akredite laboratuvar yetkililerince onaylı bir nüshasının ibrazı durumunda;</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color w:val="000000"/>
                      <w:sz w:val="18"/>
                      <w:szCs w:val="18"/>
                    </w:rPr>
                    <w:t>1. Muayene memurunca, yükümlüsü tarafından gümrük beyannamesi ekinde sunulan akredite laboratuvarlar tarafından düzenlenen analiz raporunun LARA sistemi üzerinden sisteme eklenmesinin sağlanması ve beyannameye ait numune ve şahit numunenin gümrük laboratuvarlarına gönderilmesi,</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color w:val="000000"/>
                      <w:sz w:val="18"/>
                      <w:szCs w:val="18"/>
                    </w:rPr>
                    <w:t>2. Gümrük laboratuvarlarınca; söz konusu raporu düzenleyen kuruluşun akreditasyonunun geçerliliğinin TURKAK web sitesinden kontrol edilmesinin akabinde, kendilerine intikal eden numunelere ilişkin tarife tespitinde, yükümlüsü tarafından gümrük beyannamesi ekinde sunulan ve akredite laboratuvar tarafından düzenlenen analiz raporunda yer alan sonuçların esas alınması,</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color w:val="000000"/>
                      <w:sz w:val="18"/>
                      <w:szCs w:val="18"/>
                    </w:rPr>
                    <w:t>3. Beyanname ekinde sunulan akredite laboratuvar tarafından düzenlenmiş analiz raporlarının GTİP tespiti için yetersiz bulunması veya şüphe arz etmesi halinde; laboratuvar müdürlüklerince gerekli tahlillerin yapılarak tarife tespitinin yapılması,</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color w:val="000000"/>
                      <w:sz w:val="18"/>
                      <w:szCs w:val="18"/>
                    </w:rPr>
                    <w:t>4. Akredite laboratuvarlar tarafından düzenlenen analiz sonuçlarına istinaden laboratuar müdürlüğünce yapılan tarife tespitine itiraz edilmesi halinde; tahlillerin mer’i mevzuat çerçevesinde ilgili laboratuvar müdürlüklerinde yapılması, gerekmektedir.</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color w:val="000000"/>
                      <w:sz w:val="18"/>
                      <w:szCs w:val="18"/>
                    </w:rPr>
                    <w:t>5. Bu genelge ile 2015/5sayılı Genelge yürürlükten kaldırılmıştır.</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color w:val="000000"/>
                      <w:sz w:val="18"/>
                      <w:szCs w:val="18"/>
                    </w:rPr>
                    <w:t>Bilgi ve gereğini rica ederim.</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color w:val="000000"/>
                      <w:sz w:val="18"/>
                      <w:szCs w:val="18"/>
                    </w:rPr>
                    <w:t> </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color w:val="000000"/>
                      <w:sz w:val="18"/>
                      <w:szCs w:val="18"/>
                    </w:rPr>
                    <w:t>Cenap AŞCI</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color w:val="000000"/>
                      <w:sz w:val="18"/>
                      <w:szCs w:val="18"/>
                    </w:rPr>
                    <w:t>Bakan a.</w:t>
                  </w:r>
                </w:p>
                <w:p w:rsidR="00A27952" w:rsidRPr="00A27952" w:rsidRDefault="00A27952" w:rsidP="00A27952">
                  <w:pPr>
                    <w:spacing w:before="100" w:beforeAutospacing="1" w:after="100" w:afterAutospacing="1"/>
                    <w:rPr>
                      <w:rFonts w:ascii="Arial" w:hAnsi="Arial"/>
                      <w:color w:val="000000"/>
                      <w:sz w:val="18"/>
                      <w:szCs w:val="18"/>
                    </w:rPr>
                  </w:pPr>
                  <w:r w:rsidRPr="00A27952">
                    <w:rPr>
                      <w:rFonts w:cs="Times New Roman"/>
                      <w:color w:val="000000"/>
                      <w:sz w:val="18"/>
                      <w:szCs w:val="18"/>
                    </w:rPr>
                    <w:t>Müsteşar</w:t>
                  </w:r>
                </w:p>
              </w:tc>
            </w:tr>
          </w:tbl>
          <w:p w:rsidR="00A27952" w:rsidRPr="00A27952" w:rsidRDefault="00A27952" w:rsidP="00A27952">
            <w:pPr>
              <w:rPr>
                <w:rFonts w:cs="Times New Roman"/>
              </w:rPr>
            </w:pPr>
          </w:p>
        </w:tc>
      </w:tr>
    </w:tbl>
    <w:p w:rsidR="00F961DB" w:rsidRDefault="00A27952">
      <w:r w:rsidRPr="00A27952">
        <w:rPr>
          <w:rFonts w:cs="Times New Roman"/>
        </w:rPr>
        <w:lastRenderedPageBreak/>
        <w:br/>
      </w:r>
      <w:hyperlink r:id="rId4" w:history="1">
        <w:r w:rsidRPr="00A27952">
          <w:rPr>
            <w:rFonts w:ascii="Arial" w:hAnsi="Arial"/>
            <w:color w:val="184A8D"/>
            <w:sz w:val="20"/>
            <w:szCs w:val="20"/>
          </w:rPr>
          <w:t>Sıra No 811</w:t>
        </w:r>
      </w:hyperlink>
      <w:r w:rsidRPr="00A27952">
        <w:rPr>
          <w:rFonts w:ascii="Arial" w:hAnsi="Arial"/>
          <w:sz w:val="20"/>
          <w:szCs w:val="20"/>
        </w:rPr>
        <w:t>   </w:t>
      </w:r>
      <w:hyperlink r:id="rId5" w:history="1">
        <w:r w:rsidRPr="00A27952">
          <w:rPr>
            <w:rFonts w:ascii="Arial" w:hAnsi="Arial"/>
            <w:color w:val="184A8D"/>
            <w:sz w:val="20"/>
            <w:szCs w:val="20"/>
          </w:rPr>
          <w:t>Sıra No 812</w:t>
        </w:r>
      </w:hyperlink>
      <w:r w:rsidRPr="00A27952">
        <w:rPr>
          <w:rFonts w:ascii="Arial" w:hAnsi="Arial"/>
          <w:sz w:val="20"/>
          <w:szCs w:val="20"/>
        </w:rPr>
        <w:t>   Sıra No 813</w:t>
      </w:r>
    </w:p>
    <w:sectPr w:rsidR="00F96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37"/>
    <w:rsid w:val="001F7462"/>
    <w:rsid w:val="00211B55"/>
    <w:rsid w:val="002A566B"/>
    <w:rsid w:val="006B5E37"/>
    <w:rsid w:val="008A4251"/>
    <w:rsid w:val="00A27952"/>
    <w:rsid w:val="00E12406"/>
    <w:rsid w:val="00F96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9B698-F289-477D-B9DD-CEC6A66C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55"/>
    <w:rPr>
      <w:rFonts w:cs="Arial"/>
      <w:sz w:val="24"/>
      <w:szCs w:val="24"/>
      <w:lang w:eastAsia="tr-TR"/>
    </w:rPr>
  </w:style>
  <w:style w:type="paragraph" w:styleId="Balk1">
    <w:name w:val="heading 1"/>
    <w:basedOn w:val="Normal"/>
    <w:next w:val="Normal"/>
    <w:link w:val="Balk1Char1"/>
    <w:qFormat/>
    <w:rsid w:val="00211B55"/>
    <w:pPr>
      <w:keepNext/>
      <w:widowControl w:val="0"/>
      <w:jc w:val="both"/>
      <w:outlineLvl w:val="0"/>
    </w:pPr>
    <w:rPr>
      <w:rFonts w:cs="Times New Roman"/>
      <w:b/>
      <w:bCs/>
      <w:kern w:val="32"/>
      <w:sz w:val="32"/>
      <w:szCs w:val="32"/>
    </w:rPr>
  </w:style>
  <w:style w:type="paragraph" w:styleId="Balk2">
    <w:name w:val="heading 2"/>
    <w:basedOn w:val="Normal"/>
    <w:next w:val="Normal"/>
    <w:link w:val="Balk2Char"/>
    <w:qFormat/>
    <w:rsid w:val="00211B55"/>
    <w:pPr>
      <w:keepNext/>
      <w:widowControl w:val="0"/>
      <w:jc w:val="center"/>
      <w:outlineLvl w:val="1"/>
    </w:pPr>
    <w:rPr>
      <w:rFonts w:cs="Times New Roman"/>
      <w:b/>
      <w:bCs/>
      <w:i/>
      <w:iCs/>
      <w:sz w:val="28"/>
      <w:szCs w:val="28"/>
    </w:rPr>
  </w:style>
  <w:style w:type="paragraph" w:styleId="Balk3">
    <w:name w:val="heading 3"/>
    <w:basedOn w:val="Normal"/>
    <w:next w:val="Normal"/>
    <w:link w:val="Balk3Char"/>
    <w:qFormat/>
    <w:rsid w:val="00211B55"/>
    <w:pPr>
      <w:keepNext/>
      <w:tabs>
        <w:tab w:val="left" w:pos="567"/>
      </w:tabs>
      <w:ind w:firstLine="284"/>
      <w:jc w:val="center"/>
      <w:outlineLvl w:val="2"/>
    </w:pPr>
    <w:rPr>
      <w:rFonts w:cs="Times New Roman"/>
      <w:b/>
      <w:bCs/>
      <w:sz w:val="26"/>
      <w:szCs w:val="26"/>
    </w:rPr>
  </w:style>
  <w:style w:type="paragraph" w:styleId="Balk4">
    <w:name w:val="heading 4"/>
    <w:basedOn w:val="Normal"/>
    <w:next w:val="Normal"/>
    <w:link w:val="Balk4Char"/>
    <w:qFormat/>
    <w:rsid w:val="00211B55"/>
    <w:pPr>
      <w:keepNext/>
      <w:widowControl w:val="0"/>
      <w:jc w:val="center"/>
      <w:outlineLvl w:val="3"/>
    </w:pPr>
    <w:rPr>
      <w:rFonts w:cs="Times New Roman"/>
      <w:b/>
      <w:bCs/>
      <w:sz w:val="28"/>
      <w:szCs w:val="28"/>
    </w:rPr>
  </w:style>
  <w:style w:type="paragraph" w:styleId="Balk5">
    <w:name w:val="heading 5"/>
    <w:basedOn w:val="Normal"/>
    <w:next w:val="Normal"/>
    <w:link w:val="Balk5Char"/>
    <w:qFormat/>
    <w:rsid w:val="00211B55"/>
    <w:pPr>
      <w:keepNext/>
      <w:tabs>
        <w:tab w:val="left" w:pos="567"/>
      </w:tabs>
      <w:ind w:firstLine="284"/>
      <w:jc w:val="center"/>
      <w:outlineLvl w:val="4"/>
    </w:pPr>
    <w:rPr>
      <w:rFonts w:cs="Times New Roman"/>
      <w:b/>
      <w:bCs/>
      <w:i/>
      <w:iCs/>
      <w:sz w:val="26"/>
      <w:szCs w:val="26"/>
    </w:rPr>
  </w:style>
  <w:style w:type="paragraph" w:styleId="Balk6">
    <w:name w:val="heading 6"/>
    <w:basedOn w:val="Normal"/>
    <w:next w:val="Normal"/>
    <w:link w:val="Balk6Char"/>
    <w:qFormat/>
    <w:rsid w:val="00211B55"/>
    <w:pPr>
      <w:keepNext/>
      <w:ind w:firstLine="284"/>
      <w:jc w:val="center"/>
      <w:outlineLvl w:val="5"/>
    </w:pPr>
    <w:rPr>
      <w:rFonts w:cs="Times New Roman"/>
      <w:b/>
      <w:bCs/>
      <w:sz w:val="22"/>
      <w:szCs w:val="22"/>
    </w:rPr>
  </w:style>
  <w:style w:type="paragraph" w:styleId="Balk7">
    <w:name w:val="heading 7"/>
    <w:basedOn w:val="Normal"/>
    <w:next w:val="Normal"/>
    <w:link w:val="Balk7Char"/>
    <w:qFormat/>
    <w:rsid w:val="00211B55"/>
    <w:pPr>
      <w:keepNext/>
      <w:tabs>
        <w:tab w:val="left" w:pos="4536"/>
      </w:tabs>
      <w:outlineLvl w:val="6"/>
    </w:pPr>
    <w:rPr>
      <w:rFonts w:cs="Times New Roman"/>
    </w:rPr>
  </w:style>
  <w:style w:type="paragraph" w:styleId="Balk8">
    <w:name w:val="heading 8"/>
    <w:basedOn w:val="Normal"/>
    <w:next w:val="Normal"/>
    <w:link w:val="Balk8Char"/>
    <w:qFormat/>
    <w:rsid w:val="00211B55"/>
    <w:pPr>
      <w:keepNext/>
      <w:tabs>
        <w:tab w:val="left" w:pos="567"/>
      </w:tabs>
      <w:ind w:firstLine="284"/>
      <w:jc w:val="center"/>
      <w:outlineLvl w:val="7"/>
    </w:pPr>
    <w:rPr>
      <w:rFonts w:cs="Times New Roman"/>
      <w:b/>
      <w:bCs/>
      <w:sz w:val="28"/>
      <w:szCs w:val="28"/>
    </w:rPr>
  </w:style>
  <w:style w:type="paragraph" w:styleId="Balk9">
    <w:name w:val="heading 9"/>
    <w:basedOn w:val="Normal"/>
    <w:next w:val="Normal"/>
    <w:link w:val="Balk9Char"/>
    <w:qFormat/>
    <w:rsid w:val="00211B55"/>
    <w:pPr>
      <w:keepNext/>
      <w:tabs>
        <w:tab w:val="left" w:pos="567"/>
      </w:tabs>
      <w:outlineLvl w:val="8"/>
    </w:pPr>
    <w:rPr>
      <w:rFonts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2A566B"/>
    <w:rPr>
      <w:b/>
      <w:bCs/>
      <w:kern w:val="32"/>
      <w:sz w:val="32"/>
      <w:szCs w:val="32"/>
      <w:lang w:eastAsia="tr-TR"/>
    </w:rPr>
  </w:style>
  <w:style w:type="character" w:customStyle="1" w:styleId="Balk2Char">
    <w:name w:val="Başlık 2 Char"/>
    <w:basedOn w:val="VarsaylanParagrafYazTipi"/>
    <w:link w:val="Balk2"/>
    <w:rsid w:val="00E12406"/>
    <w:rPr>
      <w:b/>
      <w:bCs/>
      <w:i/>
      <w:iCs/>
      <w:sz w:val="28"/>
      <w:szCs w:val="28"/>
      <w:lang w:eastAsia="tr-TR"/>
    </w:rPr>
  </w:style>
  <w:style w:type="character" w:customStyle="1" w:styleId="Balk3Char">
    <w:name w:val="Başlık 3 Char"/>
    <w:basedOn w:val="VarsaylanParagrafYazTipi"/>
    <w:link w:val="Balk3"/>
    <w:rsid w:val="00E12406"/>
    <w:rPr>
      <w:b/>
      <w:bCs/>
      <w:sz w:val="26"/>
      <w:szCs w:val="26"/>
      <w:lang w:eastAsia="tr-TR"/>
    </w:rPr>
  </w:style>
  <w:style w:type="character" w:customStyle="1" w:styleId="Balk4Char">
    <w:name w:val="Başlık 4 Char"/>
    <w:basedOn w:val="VarsaylanParagrafYazTipi"/>
    <w:link w:val="Balk4"/>
    <w:rsid w:val="00E12406"/>
    <w:rPr>
      <w:b/>
      <w:bCs/>
      <w:sz w:val="28"/>
      <w:szCs w:val="28"/>
      <w:lang w:eastAsia="tr-TR"/>
    </w:rPr>
  </w:style>
  <w:style w:type="character" w:customStyle="1" w:styleId="Balk5Char">
    <w:name w:val="Başlık 5 Char"/>
    <w:basedOn w:val="VarsaylanParagrafYazTipi"/>
    <w:link w:val="Balk5"/>
    <w:rsid w:val="00E12406"/>
    <w:rPr>
      <w:b/>
      <w:bCs/>
      <w:i/>
      <w:iCs/>
      <w:sz w:val="26"/>
      <w:szCs w:val="26"/>
      <w:lang w:eastAsia="tr-TR"/>
    </w:rPr>
  </w:style>
  <w:style w:type="character" w:customStyle="1" w:styleId="Balk6Char">
    <w:name w:val="Başlık 6 Char"/>
    <w:basedOn w:val="VarsaylanParagrafYazTipi"/>
    <w:link w:val="Balk6"/>
    <w:rsid w:val="00E12406"/>
    <w:rPr>
      <w:b/>
      <w:bCs/>
      <w:sz w:val="22"/>
      <w:szCs w:val="22"/>
      <w:lang w:eastAsia="tr-TR"/>
    </w:rPr>
  </w:style>
  <w:style w:type="character" w:customStyle="1" w:styleId="Balk7Char">
    <w:name w:val="Başlık 7 Char"/>
    <w:basedOn w:val="VarsaylanParagrafYazTipi"/>
    <w:link w:val="Balk7"/>
    <w:rsid w:val="00E12406"/>
    <w:rPr>
      <w:sz w:val="24"/>
      <w:szCs w:val="24"/>
      <w:lang w:eastAsia="tr-TR"/>
    </w:rPr>
  </w:style>
  <w:style w:type="character" w:customStyle="1" w:styleId="Balk8Char">
    <w:name w:val="Başlık 8 Char"/>
    <w:basedOn w:val="VarsaylanParagrafYazTipi"/>
    <w:link w:val="Balk8"/>
    <w:rsid w:val="00E12406"/>
    <w:rPr>
      <w:b/>
      <w:bCs/>
      <w:sz w:val="28"/>
      <w:szCs w:val="28"/>
      <w:lang w:eastAsia="tr-TR"/>
    </w:rPr>
  </w:style>
  <w:style w:type="character" w:customStyle="1" w:styleId="Balk9Char">
    <w:name w:val="Başlık 9 Char"/>
    <w:basedOn w:val="VarsaylanParagrafYazTipi"/>
    <w:link w:val="Balk9"/>
    <w:rsid w:val="00E12406"/>
    <w:rPr>
      <w:b/>
      <w:bCs/>
      <w:sz w:val="24"/>
      <w:szCs w:val="24"/>
      <w:lang w:eastAsia="tr-TR"/>
    </w:rPr>
  </w:style>
  <w:style w:type="paragraph" w:styleId="KonuBal">
    <w:name w:val="Title"/>
    <w:basedOn w:val="Normal"/>
    <w:link w:val="KonuBalChar1"/>
    <w:qFormat/>
    <w:rsid w:val="00211B55"/>
    <w:pPr>
      <w:widowControl w:val="0"/>
      <w:jc w:val="center"/>
    </w:pPr>
    <w:rPr>
      <w:rFonts w:cs="Times New Roman"/>
      <w:b/>
      <w:bCs/>
      <w:snapToGrid w:val="0"/>
    </w:rPr>
  </w:style>
  <w:style w:type="character" w:customStyle="1" w:styleId="KonuBalChar">
    <w:name w:val="Konu Başlığı Char"/>
    <w:basedOn w:val="VarsaylanParagrafYazTipi"/>
    <w:rsid w:val="002A566B"/>
    <w:rPr>
      <w:b/>
      <w:bCs/>
      <w:snapToGrid w:val="0"/>
      <w:sz w:val="24"/>
      <w:szCs w:val="24"/>
      <w:lang w:eastAsia="tr-TR"/>
    </w:rPr>
  </w:style>
  <w:style w:type="paragraph" w:customStyle="1" w:styleId="msoheadng7">
    <w:name w:val="msoheadıng7"/>
    <w:basedOn w:val="Normal"/>
    <w:next w:val="Normal"/>
    <w:uiPriority w:val="99"/>
    <w:rsid w:val="00E12406"/>
    <w:pPr>
      <w:keepNext/>
      <w:jc w:val="center"/>
      <w:outlineLvl w:val="6"/>
    </w:pPr>
    <w:rPr>
      <w:b/>
      <w:bCs/>
      <w:sz w:val="20"/>
      <w:szCs w:val="20"/>
    </w:rPr>
  </w:style>
  <w:style w:type="paragraph" w:customStyle="1" w:styleId="msoheadng8">
    <w:name w:val="msoheadıng8"/>
    <w:basedOn w:val="Normal"/>
    <w:next w:val="Normal"/>
    <w:uiPriority w:val="99"/>
    <w:rsid w:val="00E12406"/>
    <w:pPr>
      <w:keepNext/>
      <w:ind w:firstLine="567"/>
      <w:jc w:val="both"/>
      <w:outlineLvl w:val="7"/>
    </w:pPr>
    <w:rPr>
      <w:b/>
      <w:bCs/>
    </w:rPr>
  </w:style>
  <w:style w:type="paragraph" w:customStyle="1" w:styleId="msoheadng9">
    <w:name w:val="msoheadıng9"/>
    <w:basedOn w:val="Normal"/>
    <w:next w:val="Normal"/>
    <w:uiPriority w:val="99"/>
    <w:rsid w:val="00E12406"/>
    <w:pPr>
      <w:spacing w:before="240" w:after="60"/>
      <w:outlineLvl w:val="8"/>
    </w:pPr>
    <w:rPr>
      <w:sz w:val="22"/>
      <w:szCs w:val="22"/>
    </w:rPr>
  </w:style>
  <w:style w:type="paragraph" w:customStyle="1" w:styleId="msottle">
    <w:name w:val="msotıtle"/>
    <w:basedOn w:val="Normal"/>
    <w:uiPriority w:val="99"/>
    <w:rsid w:val="00E12406"/>
    <w:pPr>
      <w:jc w:val="center"/>
    </w:pPr>
    <w:rPr>
      <w:rFonts w:ascii="Arial Narrow" w:hAnsi="Arial Narrow"/>
      <w:b/>
    </w:rPr>
  </w:style>
  <w:style w:type="paragraph" w:customStyle="1" w:styleId="msosubttle">
    <w:name w:val="msosubtıtle"/>
    <w:basedOn w:val="Normal"/>
    <w:uiPriority w:val="99"/>
    <w:rsid w:val="00E12406"/>
    <w:pPr>
      <w:jc w:val="center"/>
    </w:pPr>
    <w:rPr>
      <w:b/>
      <w:bCs/>
    </w:rPr>
  </w:style>
  <w:style w:type="character" w:customStyle="1" w:styleId="Balk1Char1">
    <w:name w:val="Başlık 1 Char1"/>
    <w:basedOn w:val="VarsaylanParagrafYazTipi"/>
    <w:link w:val="Balk1"/>
    <w:locked/>
    <w:rsid w:val="00E12406"/>
    <w:rPr>
      <w:b/>
      <w:bCs/>
      <w:kern w:val="32"/>
      <w:sz w:val="32"/>
      <w:szCs w:val="32"/>
      <w:lang w:eastAsia="tr-TR"/>
    </w:rPr>
  </w:style>
  <w:style w:type="character" w:customStyle="1" w:styleId="KonuBalChar1">
    <w:name w:val="Konu Başlığı Char1"/>
    <w:basedOn w:val="VarsaylanParagrafYazTipi"/>
    <w:link w:val="KonuBal"/>
    <w:locked/>
    <w:rsid w:val="00E12406"/>
    <w:rPr>
      <w:b/>
      <w:bCs/>
      <w:snapToGrid w:val="0"/>
      <w:sz w:val="24"/>
      <w:szCs w:val="24"/>
      <w:lang w:eastAsia="tr-TR"/>
    </w:rPr>
  </w:style>
  <w:style w:type="paragraph" w:styleId="Altyaz">
    <w:name w:val="Subtitle"/>
    <w:aliases w:val=" Char,Char"/>
    <w:basedOn w:val="Normal"/>
    <w:link w:val="AltyazChar"/>
    <w:uiPriority w:val="11"/>
    <w:qFormat/>
    <w:rsid w:val="00E12406"/>
    <w:pPr>
      <w:spacing w:after="60"/>
      <w:jc w:val="center"/>
      <w:outlineLvl w:val="1"/>
    </w:pPr>
    <w:rPr>
      <w:rFonts w:asciiTheme="majorHAnsi" w:eastAsiaTheme="majorEastAsia" w:hAnsiTheme="majorHAnsi" w:cstheme="majorBidi"/>
    </w:rPr>
  </w:style>
  <w:style w:type="character" w:customStyle="1" w:styleId="AltyazChar">
    <w:name w:val="Altyazı Char"/>
    <w:aliases w:val=" Char Char,Char Char"/>
    <w:basedOn w:val="VarsaylanParagrafYazTipi"/>
    <w:link w:val="Altyaz"/>
    <w:uiPriority w:val="11"/>
    <w:rsid w:val="00E12406"/>
    <w:rPr>
      <w:rFonts w:asciiTheme="majorHAnsi" w:eastAsiaTheme="majorEastAsia" w:hAnsiTheme="majorHAnsi" w:cstheme="majorBidi"/>
      <w:sz w:val="24"/>
      <w:szCs w:val="24"/>
      <w:lang w:eastAsia="tr-TR"/>
    </w:rPr>
  </w:style>
  <w:style w:type="character" w:styleId="Gl">
    <w:name w:val="Strong"/>
    <w:basedOn w:val="VarsaylanParagrafYazTipi"/>
    <w:uiPriority w:val="22"/>
    <w:qFormat/>
    <w:rsid w:val="00E12406"/>
    <w:rPr>
      <w:b/>
      <w:bCs/>
    </w:rPr>
  </w:style>
  <w:style w:type="paragraph" w:styleId="AralkYok">
    <w:name w:val="No Spacing"/>
    <w:uiPriority w:val="1"/>
    <w:qFormat/>
    <w:rsid w:val="00E12406"/>
    <w:rPr>
      <w:rFonts w:eastAsia="Calibri"/>
      <w:sz w:val="24"/>
      <w:szCs w:val="24"/>
      <w:lang w:eastAsia="tr-TR"/>
    </w:rPr>
  </w:style>
  <w:style w:type="paragraph" w:styleId="ListeParagraf">
    <w:name w:val="List Paragraph"/>
    <w:basedOn w:val="Normal"/>
    <w:uiPriority w:val="34"/>
    <w:qFormat/>
    <w:rsid w:val="00E1240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slannet.com/index.php?id=duyuru_ac&amp;pid=812" TargetMode="External"/><Relationship Id="rId4" Type="http://schemas.openxmlformats.org/officeDocument/2006/relationships/hyperlink" Target="http://www.arslannet.com/index.php?id=duyuru_ac&amp;pid=81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2017-07-04T06:08:00Z</dcterms:created>
  <dcterms:modified xsi:type="dcterms:W3CDTF">2017-07-04T06:08:00Z</dcterms:modified>
</cp:coreProperties>
</file>