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D7AC0" w:rsidRPr="005D7AC0" w:rsidTr="005D7AC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D7AC0" w:rsidRPr="005D7AC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7AC0" w:rsidRPr="005D7AC0" w:rsidRDefault="005D7AC0" w:rsidP="005D7AC0">
                  <w:pPr>
                    <w:spacing w:after="0" w:line="240" w:lineRule="atLeast"/>
                    <w:rPr>
                      <w:rFonts w:ascii="Times New Roman" w:eastAsia="Times New Roman" w:hAnsi="Times New Roman" w:cs="Times New Roman"/>
                      <w:sz w:val="24"/>
                      <w:szCs w:val="24"/>
                      <w:lang w:eastAsia="tr-TR"/>
                    </w:rPr>
                  </w:pPr>
                  <w:r w:rsidRPr="005D7AC0">
                    <w:rPr>
                      <w:rFonts w:ascii="Arial" w:eastAsia="Times New Roman" w:hAnsi="Arial" w:cs="Arial"/>
                      <w:sz w:val="16"/>
                      <w:szCs w:val="16"/>
                      <w:lang w:eastAsia="tr-TR"/>
                    </w:rPr>
                    <w:t>25 Mart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7AC0" w:rsidRPr="005D7AC0" w:rsidRDefault="005D7AC0" w:rsidP="005D7AC0">
                  <w:pPr>
                    <w:spacing w:after="0" w:line="240" w:lineRule="atLeast"/>
                    <w:jc w:val="center"/>
                    <w:rPr>
                      <w:rFonts w:ascii="Times New Roman" w:eastAsia="Times New Roman" w:hAnsi="Times New Roman" w:cs="Times New Roman"/>
                      <w:sz w:val="24"/>
                      <w:szCs w:val="24"/>
                      <w:lang w:eastAsia="tr-TR"/>
                    </w:rPr>
                  </w:pPr>
                  <w:r w:rsidRPr="005D7AC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7AC0" w:rsidRPr="005D7AC0" w:rsidRDefault="005D7AC0" w:rsidP="005D7AC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D7AC0">
                    <w:rPr>
                      <w:rFonts w:ascii="Arial" w:eastAsia="Times New Roman" w:hAnsi="Arial" w:cs="Arial"/>
                      <w:sz w:val="16"/>
                      <w:szCs w:val="16"/>
                      <w:lang w:eastAsia="tr-TR"/>
                    </w:rPr>
                    <w:t>Sayı : 31434</w:t>
                  </w:r>
                  <w:proofErr w:type="gramEnd"/>
                </w:p>
              </w:tc>
            </w:tr>
            <w:tr w:rsidR="005D7AC0" w:rsidRPr="005D7AC0">
              <w:trPr>
                <w:trHeight w:val="480"/>
                <w:jc w:val="center"/>
              </w:trPr>
              <w:tc>
                <w:tcPr>
                  <w:tcW w:w="8789" w:type="dxa"/>
                  <w:gridSpan w:val="3"/>
                  <w:tcMar>
                    <w:top w:w="0" w:type="dxa"/>
                    <w:left w:w="108" w:type="dxa"/>
                    <w:bottom w:w="0" w:type="dxa"/>
                    <w:right w:w="108" w:type="dxa"/>
                  </w:tcMar>
                  <w:vAlign w:val="center"/>
                  <w:hideMark/>
                </w:tcPr>
                <w:p w:rsidR="005D7AC0" w:rsidRPr="005D7AC0" w:rsidRDefault="005D7AC0" w:rsidP="005D7A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7AC0">
                    <w:rPr>
                      <w:rFonts w:ascii="Arial" w:eastAsia="Times New Roman" w:hAnsi="Arial" w:cs="Arial"/>
                      <w:b/>
                      <w:bCs/>
                      <w:color w:val="000080"/>
                      <w:sz w:val="18"/>
                      <w:szCs w:val="18"/>
                      <w:lang w:eastAsia="tr-TR"/>
                    </w:rPr>
                    <w:t>TEBLİĞ</w:t>
                  </w:r>
                </w:p>
              </w:tc>
            </w:tr>
            <w:tr w:rsidR="005D7AC0" w:rsidRPr="005D7AC0">
              <w:trPr>
                <w:trHeight w:val="480"/>
                <w:jc w:val="center"/>
              </w:trPr>
              <w:tc>
                <w:tcPr>
                  <w:tcW w:w="8789" w:type="dxa"/>
                  <w:gridSpan w:val="3"/>
                  <w:tcMar>
                    <w:top w:w="0" w:type="dxa"/>
                    <w:left w:w="108" w:type="dxa"/>
                    <w:bottom w:w="0" w:type="dxa"/>
                    <w:right w:w="108" w:type="dxa"/>
                  </w:tcMar>
                  <w:vAlign w:val="center"/>
                  <w:hideMark/>
                </w:tcPr>
                <w:p w:rsidR="005D7AC0" w:rsidRPr="005D7AC0" w:rsidRDefault="005D7AC0" w:rsidP="005D7AC0">
                  <w:pPr>
                    <w:spacing w:after="0" w:line="240" w:lineRule="atLeast"/>
                    <w:ind w:firstLine="566"/>
                    <w:jc w:val="both"/>
                    <w:rPr>
                      <w:rFonts w:ascii="Times New Roman" w:eastAsia="Times New Roman" w:hAnsi="Times New Roman" w:cs="Times New Roman"/>
                      <w:u w:val="single"/>
                      <w:lang w:eastAsia="tr-TR"/>
                    </w:rPr>
                  </w:pPr>
                  <w:r w:rsidRPr="005D7AC0">
                    <w:rPr>
                      <w:rFonts w:ascii="Times New Roman" w:eastAsia="Times New Roman" w:hAnsi="Times New Roman" w:cs="Times New Roman"/>
                      <w:sz w:val="18"/>
                      <w:szCs w:val="18"/>
                      <w:u w:val="single"/>
                      <w:lang w:eastAsia="tr-TR"/>
                    </w:rPr>
                    <w:t>Ticaret Bakanlığından:</w:t>
                  </w:r>
                </w:p>
                <w:p w:rsidR="005D7AC0" w:rsidRPr="005D7AC0" w:rsidRDefault="005D7AC0" w:rsidP="005D7AC0">
                  <w:pPr>
                    <w:spacing w:after="0" w:line="240" w:lineRule="atLeast"/>
                    <w:jc w:val="center"/>
                    <w:rPr>
                      <w:rFonts w:ascii="Times New Roman" w:eastAsia="Times New Roman" w:hAnsi="Times New Roman" w:cs="Times New Roman"/>
                      <w:b/>
                      <w:bCs/>
                      <w:sz w:val="19"/>
                      <w:szCs w:val="19"/>
                      <w:lang w:eastAsia="tr-TR"/>
                    </w:rPr>
                  </w:pPr>
                  <w:r w:rsidRPr="005D7AC0">
                    <w:rPr>
                      <w:rFonts w:ascii="Times New Roman" w:eastAsia="Times New Roman" w:hAnsi="Times New Roman" w:cs="Times New Roman"/>
                      <w:b/>
                      <w:bCs/>
                      <w:sz w:val="18"/>
                      <w:szCs w:val="18"/>
                      <w:lang w:eastAsia="tr-TR"/>
                    </w:rPr>
                    <w:t>İTHALATTA KOTA VE TARİFE KONTENJANI İDARESİNE İLİŞKİN TEBLİĞ</w:t>
                  </w:r>
                </w:p>
                <w:p w:rsidR="005D7AC0" w:rsidRPr="005D7AC0" w:rsidRDefault="005D7AC0" w:rsidP="005D7AC0">
                  <w:pPr>
                    <w:spacing w:after="0" w:line="240" w:lineRule="atLeast"/>
                    <w:jc w:val="center"/>
                    <w:rPr>
                      <w:rFonts w:ascii="Times New Roman" w:eastAsia="Times New Roman" w:hAnsi="Times New Roman" w:cs="Times New Roman"/>
                      <w:b/>
                      <w:bCs/>
                      <w:sz w:val="19"/>
                      <w:szCs w:val="19"/>
                      <w:lang w:eastAsia="tr-TR"/>
                    </w:rPr>
                  </w:pPr>
                  <w:r w:rsidRPr="005D7AC0">
                    <w:rPr>
                      <w:rFonts w:ascii="Times New Roman" w:eastAsia="Times New Roman" w:hAnsi="Times New Roman" w:cs="Times New Roman"/>
                      <w:b/>
                      <w:bCs/>
                      <w:sz w:val="18"/>
                      <w:szCs w:val="18"/>
                      <w:lang w:eastAsia="tr-TR"/>
                    </w:rPr>
                    <w:t>(TEBLİĞ NO: 2021/4)</w:t>
                  </w:r>
                </w:p>
                <w:p w:rsidR="005D7AC0" w:rsidRPr="005D7AC0" w:rsidRDefault="005D7AC0" w:rsidP="005D7AC0">
                  <w:pPr>
                    <w:spacing w:after="0" w:line="240" w:lineRule="atLeast"/>
                    <w:jc w:val="center"/>
                    <w:rPr>
                      <w:rFonts w:ascii="Times New Roman" w:eastAsia="Times New Roman" w:hAnsi="Times New Roman" w:cs="Times New Roman"/>
                      <w:b/>
                      <w:bCs/>
                      <w:sz w:val="19"/>
                      <w:szCs w:val="19"/>
                      <w:lang w:eastAsia="tr-TR"/>
                    </w:rPr>
                  </w:pPr>
                  <w:r w:rsidRPr="005D7AC0">
                    <w:rPr>
                      <w:rFonts w:ascii="Times New Roman" w:eastAsia="Times New Roman" w:hAnsi="Times New Roman" w:cs="Times New Roman"/>
                      <w:b/>
                      <w:bCs/>
                      <w:sz w:val="18"/>
                      <w:szCs w:val="18"/>
                      <w:lang w:eastAsia="tr-TR"/>
                    </w:rPr>
                    <w:t> </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Amaç ve kapsam</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1 –</w:t>
                  </w:r>
                  <w:r w:rsidRPr="005D7AC0">
                    <w:rPr>
                      <w:rFonts w:ascii="Times New Roman" w:eastAsia="Times New Roman" w:hAnsi="Times New Roman" w:cs="Times New Roman"/>
                      <w:sz w:val="18"/>
                      <w:szCs w:val="18"/>
                      <w:lang w:eastAsia="tr-TR"/>
                    </w:rPr>
                    <w:t> (1) Bu Tebliğin amacı, 28/12/2020 tarihli ve 3339 sayılı Cumhurbaşkanı Kararı ile yürürlüğe konulan Bazı Sanayi Ürünlerinin İthalatında Tarife Kontenjanı Uygulanması Hakkında Karar uyarınca açılan tarife kontenjanlarının ilgili mevzuat çerçevesinde ilk dağıtımı sonucunda artakalan kontenjanların dağıtım yöntemi ile başvuru ve kullanım usul ve esaslarını düzenlemektir.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Dayanak</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proofErr w:type="gramStart"/>
                  <w:r w:rsidRPr="005D7AC0">
                    <w:rPr>
                      <w:rFonts w:ascii="Times New Roman" w:eastAsia="Times New Roman" w:hAnsi="Times New Roman" w:cs="Times New Roman"/>
                      <w:b/>
                      <w:bCs/>
                      <w:sz w:val="18"/>
                      <w:szCs w:val="18"/>
                      <w:lang w:eastAsia="tr-TR"/>
                    </w:rPr>
                    <w:t>MADDE 2 –</w:t>
                  </w:r>
                  <w:r w:rsidRPr="005D7AC0">
                    <w:rPr>
                      <w:rFonts w:ascii="Times New Roman" w:eastAsia="Times New Roman" w:hAnsi="Times New Roman" w:cs="Times New Roman"/>
                      <w:sz w:val="18"/>
                      <w:szCs w:val="18"/>
                      <w:lang w:eastAsia="tr-TR"/>
                    </w:rPr>
                    <w:t> (1) Bu Tebliğ, 28/12/2020 tarihli ve 3339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roofErr w:type="gramEnd"/>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Tarife kontenjanı dağıtımı başvuru usul ve esasları</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proofErr w:type="gramStart"/>
                  <w:r w:rsidRPr="005D7AC0">
                    <w:rPr>
                      <w:rFonts w:ascii="Times New Roman" w:eastAsia="Times New Roman" w:hAnsi="Times New Roman" w:cs="Times New Roman"/>
                      <w:b/>
                      <w:bCs/>
                      <w:sz w:val="18"/>
                      <w:szCs w:val="18"/>
                      <w:lang w:eastAsia="tr-TR"/>
                    </w:rPr>
                    <w:t>MADDE 3 –</w:t>
                  </w:r>
                  <w:r w:rsidRPr="005D7AC0">
                    <w:rPr>
                      <w:rFonts w:ascii="Times New Roman" w:eastAsia="Times New Roman" w:hAnsi="Times New Roman" w:cs="Times New Roman"/>
                      <w:sz w:val="18"/>
                      <w:szCs w:val="18"/>
                      <w:lang w:eastAsia="tr-TR"/>
                    </w:rPr>
                    <w:t> (1) Bazı Sanayi Ürünlerinin İthalatında Tarife Kontenjanı Uygulanması Hakkında Karar uyarınca; bu Tebliğin Ek-1’indeki tabloda GTP ve tanımları yer alan eşyanın ithalatında karşılarında gösterilen miktarlarda artakalan tarife kontenjanlarının dağıtımı, söz konusu eşyayı üretiminde hammadde veya ara mal olarak kullanan sanayiciler ile tarife kontenjanı konusu maddeye ilişkin başvurunun yapıldığı yıl hariç son üç takvim yılında ithalat performansı olan geleneksel ithalatçılara talep toplama yöntemi ile yapılır.</w:t>
                  </w:r>
                  <w:proofErr w:type="gramEnd"/>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(2) Tarife kontenjanına başvuru, bu Tebliğin yayımı tarihinden itibaren on iş günü içerisinde, Ticaret Bakanlığı (Bakanlık) internet sitesinde (www.ticaret.gov.tr) yer alan E-İmza Uygulamaları altındaki “E-İmza Uygulamalarına Giriş” bölümünde yer alan “İthalat İşlemleri” kısmında elektronik imza ile yapılır.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 xml:space="preserve">(3) Elektronik imza sahibi kişilerin firmalar adına başvuru yapmak üzere yetkilendirilmesi, 27/12/2017 tarihli ve 30283 sayılı Resmî </w:t>
                  </w:r>
                  <w:proofErr w:type="spellStart"/>
                  <w:r w:rsidRPr="005D7AC0">
                    <w:rPr>
                      <w:rFonts w:ascii="Times New Roman" w:eastAsia="Times New Roman" w:hAnsi="Times New Roman" w:cs="Times New Roman"/>
                      <w:sz w:val="18"/>
                      <w:szCs w:val="18"/>
                      <w:lang w:eastAsia="tr-TR"/>
                    </w:rPr>
                    <w:t>Gazete’de</w:t>
                  </w:r>
                  <w:proofErr w:type="spellEnd"/>
                  <w:r w:rsidRPr="005D7AC0">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 (4) Yapılan başvurularda, ikinci fıkrada belirtilen “İthalat İşlemleri” sayfasında bulunan “Başvuru İşlemleri” ana başlığı altındaki “Başvuru Girişi” ekranında Belge Türü olarak “TPS-0955-İthal Lisansı (Sanayi)”, Tebliğ/Karar olarak bu Tebliğ seçilir. Başvuru Formunun elektronik olarak doldurulup Ek-3’te yer alan başvuruya eklenmesi gereken belgelerin tam ve eksiksiz bir şekilde sisteme yüklenmesinden sonra yetkili kullanıcı tarafından elektronik imza atılması suretiyle başvuru tamamlanır.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(5) Eksik başvuru yapılması halinde, Bakanlıkça eksikliklerin tamamlanması için beş gün ek süre verilir.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(6) Birden fazla eşya için başvuruda bulunacak firmaların her bir eşya için ayrı bir başvuru yapması gerekir.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Dağıtım</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4 –</w:t>
                  </w:r>
                  <w:r w:rsidRPr="005D7AC0">
                    <w:rPr>
                      <w:rFonts w:ascii="Times New Roman" w:eastAsia="Times New Roman" w:hAnsi="Times New Roman" w:cs="Times New Roman"/>
                      <w:sz w:val="18"/>
                      <w:szCs w:val="18"/>
                      <w:lang w:eastAsia="tr-TR"/>
                    </w:rPr>
                    <w:t> (1) Tarife kontenjanlarının dağıtımında söz konusu eşyayı üretiminde hammadde veya ara mal olarak kullanan sanayicilerin talepleri öncelikle dikkate alınır.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(2) Talep edilen toplam tarife kontenjanı miktarının, açılmış olan tarife kontenjanı miktarı ile eşit veya bu miktardan daha az olması durumunda taleplerin tam olarak karşılanması esastır.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 xml:space="preserve">(3) Talep edilen toplam tarife kontenjanı miktarının açılan tarife kontenjanı miktarından daha fazla olması durumunda ise dağıtım; geçerli başvuru sayısı, toplam talep miktarı, üretim faaliyeti, fiili sarfiyat, üretim miktarı, üretim kapasitesi, tüketim kapasitesi, toplam ithalat miktarı ve daha önce tahsis edilmiş bulunan tarife kontenjanını kullanma performansları </w:t>
                  </w:r>
                  <w:proofErr w:type="gramStart"/>
                  <w:r w:rsidRPr="005D7AC0">
                    <w:rPr>
                      <w:rFonts w:ascii="Times New Roman" w:eastAsia="Times New Roman" w:hAnsi="Times New Roman" w:cs="Times New Roman"/>
                      <w:sz w:val="18"/>
                      <w:szCs w:val="18"/>
                      <w:lang w:eastAsia="tr-TR"/>
                    </w:rPr>
                    <w:t>kriterlerinden</w:t>
                  </w:r>
                  <w:proofErr w:type="gramEnd"/>
                  <w:r w:rsidRPr="005D7AC0">
                    <w:rPr>
                      <w:rFonts w:ascii="Times New Roman" w:eastAsia="Times New Roman" w:hAnsi="Times New Roman" w:cs="Times New Roman"/>
                      <w:sz w:val="18"/>
                      <w:szCs w:val="18"/>
                      <w:lang w:eastAsia="tr-TR"/>
                    </w:rPr>
                    <w:t xml:space="preserve"> bir veya birkaçı dikkate alınmak suretiyle gerçekleştirilir.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İthal lisansının düzenlenmesi, bildirimi ve kullanımı</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5 –</w:t>
                  </w:r>
                  <w:r w:rsidRPr="005D7AC0">
                    <w:rPr>
                      <w:rFonts w:ascii="Times New Roman" w:eastAsia="Times New Roman" w:hAnsi="Times New Roman" w:cs="Times New Roman"/>
                      <w:sz w:val="18"/>
                      <w:szCs w:val="18"/>
                      <w:lang w:eastAsia="tr-TR"/>
                    </w:rPr>
                    <w:t> (1) Tarife kontenjanı kapsamında yapılacak ithalatta Bakanlıkça (İthalat Genel Müdürlüğü) düzenlenen ithal lisansı, gümrük beyannamesinin tescilinde ilgili gümrük idaresince aranır.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(İthalat Genel Müdürlüğü) elektronik olarak düzenlenir ve başvuru formunda yer alan e-posta adresine bildirilir. Bildirimde Bakanlıkça (İthalat Genel Müdürlüğü) elektronik ortamda (Tek Pencere Sistemi) verilen 23 haneli belge numarası ile belge tarihi yer alır. Başvuru sahibine ayrıca yazılı bildirim yapılmaz.</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5D7AC0">
                    <w:rPr>
                      <w:rFonts w:ascii="Times New Roman" w:eastAsia="Times New Roman" w:hAnsi="Times New Roman" w:cs="Times New Roman"/>
                      <w:sz w:val="18"/>
                      <w:szCs w:val="18"/>
                      <w:lang w:eastAsia="tr-TR"/>
                    </w:rPr>
                    <w:t>nolu</w:t>
                  </w:r>
                  <w:proofErr w:type="spellEnd"/>
                  <w:r w:rsidRPr="005D7AC0">
                    <w:rPr>
                      <w:rFonts w:ascii="Times New Roman" w:eastAsia="Times New Roman" w:hAnsi="Times New Roman" w:cs="Times New Roman"/>
                      <w:sz w:val="18"/>
                      <w:szCs w:val="18"/>
                      <w:lang w:eastAsia="tr-TR"/>
                    </w:rPr>
                    <w:t xml:space="preserve"> kutusunda “Belge Referans No” ve “Belge Tarihi” alanlarında beyan edilir. </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(4) Başvuru sahibinin gümrük idaresinde kaydının olmaması nedeniyle Tek Pencere Sisteminde ithal lisansının onaylanamaması durumunda, başvuru formunda yer alan e-posta adresine Bakanlıkça (İthalat Genel Müdürlüğü) bildirimde bulunulur. Yapılan bildirim üzerine ithalatçı tarafından 5 (beş) iş günü içinde gümrük sistemine kayıt yaptırılarak Bakanlığa (İthalat Genel Müdürlüğü) bilgi verilir. Aksi takdirde, yapılmış olan başvuru geçersiz sayılır.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(5) Tarife kontenjanı konusu eşya ancak ithal lisansının geçerlilik süresi içerisinde serbest dolaşıma girebilir.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İthal lisanslarının süresi</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6 –</w:t>
                  </w:r>
                  <w:r w:rsidRPr="005D7AC0">
                    <w:rPr>
                      <w:rFonts w:ascii="Times New Roman" w:eastAsia="Times New Roman" w:hAnsi="Times New Roman" w:cs="Times New Roman"/>
                      <w:sz w:val="18"/>
                      <w:szCs w:val="18"/>
                      <w:lang w:eastAsia="tr-TR"/>
                    </w:rPr>
                    <w:t> (1) Düzenlenecek ithal lisansları 15/2/2022 tarihine kadar (bu tarih dâhil) geçerlidir.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İthal lisansı devri</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7 –</w:t>
                  </w:r>
                  <w:r w:rsidRPr="005D7AC0">
                    <w:rPr>
                      <w:rFonts w:ascii="Times New Roman" w:eastAsia="Times New Roman" w:hAnsi="Times New Roman" w:cs="Times New Roman"/>
                      <w:sz w:val="18"/>
                      <w:szCs w:val="18"/>
                      <w:lang w:eastAsia="tr-TR"/>
                    </w:rPr>
                    <w:t> (1) İthal lisansı kapsamındaki ithalatın, ithal lisansı sahibi firma tarafından yapılması zorunludur. İthal lisansı üçüncü kişilere devredilemez.</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İthal lisansının revizesi</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8 –</w:t>
                  </w:r>
                  <w:r w:rsidRPr="005D7AC0">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w:t>
                  </w:r>
                  <w:proofErr w:type="spellStart"/>
                  <w:r w:rsidRPr="005D7AC0">
                    <w:rPr>
                      <w:rFonts w:ascii="Times New Roman" w:eastAsia="Times New Roman" w:hAnsi="Times New Roman" w:cs="Times New Roman"/>
                      <w:sz w:val="18"/>
                      <w:szCs w:val="18"/>
                      <w:lang w:eastAsia="tr-TR"/>
                    </w:rPr>
                    <w:t>re’sen</w:t>
                  </w:r>
                  <w:proofErr w:type="spellEnd"/>
                  <w:r w:rsidRPr="005D7AC0">
                    <w:rPr>
                      <w:rFonts w:ascii="Times New Roman" w:eastAsia="Times New Roman" w:hAnsi="Times New Roman" w:cs="Times New Roman"/>
                      <w:sz w:val="18"/>
                      <w:szCs w:val="18"/>
                      <w:lang w:eastAsia="tr-TR"/>
                    </w:rPr>
                    <w:t xml:space="preserve"> değişiklik yapabilir. Adına ithal lisansı düzenlenen firma tarafından, değişiklik talebine ilişkin ilgili bilgi ve belgeler ile birlikte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(2) İthal lisansının miktarının artırılmasına yönelik talepler değerlendirmeye alınmaz.</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Uygulamaya ilişkin önlemler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9 –</w:t>
                  </w:r>
                  <w:r w:rsidRPr="005D7AC0">
                    <w:rPr>
                      <w:rFonts w:ascii="Times New Roman" w:eastAsia="Times New Roman" w:hAnsi="Times New Roman" w:cs="Times New Roman"/>
                      <w:sz w:val="18"/>
                      <w:szCs w:val="18"/>
                      <w:lang w:eastAsia="tr-TR"/>
                    </w:rPr>
                    <w:t>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Yetki</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10 –</w:t>
                  </w:r>
                  <w:r w:rsidRPr="005D7AC0">
                    <w:rPr>
                      <w:rFonts w:ascii="Times New Roman" w:eastAsia="Times New Roman" w:hAnsi="Times New Roman" w:cs="Times New Roman"/>
                      <w:sz w:val="18"/>
                      <w:szCs w:val="18"/>
                      <w:lang w:eastAsia="tr-TR"/>
                    </w:rPr>
                    <w:t> (1) Bu Tebliğde yer alan hususlarda uygulamaya yönelik önlem almaya, düzenleme yapmaya, gerekli durumlarda inceleme yapmaya veya yaptırmaya Bakanlık (İthalat Genel Müdürlüğü) yetkilidir.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Hüküm bulunmayan haller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11 –</w:t>
                  </w:r>
                  <w:r w:rsidRPr="005D7AC0">
                    <w:rPr>
                      <w:rFonts w:ascii="Times New Roman" w:eastAsia="Times New Roman" w:hAnsi="Times New Roman" w:cs="Times New Roman"/>
                      <w:sz w:val="18"/>
                      <w:szCs w:val="18"/>
                      <w:lang w:eastAsia="tr-TR"/>
                    </w:rPr>
                    <w:t> (1) Bu Tebliğde yer almayan hususlarda 31/12/2020 tarihli ve 3350 sayılı Cumhurbaşkanı Kararı ile yürürlüğe konulan İthalat Rejimi Kararı ve diğer ilgili mevzuat hükümleri uygulanır.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Yürürlükten kaldırılan tebliğler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proofErr w:type="gramStart"/>
                  <w:r w:rsidRPr="005D7AC0">
                    <w:rPr>
                      <w:rFonts w:ascii="Times New Roman" w:eastAsia="Times New Roman" w:hAnsi="Times New Roman" w:cs="Times New Roman"/>
                      <w:b/>
                      <w:bCs/>
                      <w:sz w:val="18"/>
                      <w:szCs w:val="18"/>
                      <w:lang w:eastAsia="tr-TR"/>
                    </w:rPr>
                    <w:t>MADDE 12 –</w:t>
                  </w:r>
                  <w:r w:rsidRPr="005D7AC0">
                    <w:rPr>
                      <w:rFonts w:ascii="Times New Roman" w:eastAsia="Times New Roman" w:hAnsi="Times New Roman" w:cs="Times New Roman"/>
                      <w:sz w:val="18"/>
                      <w:szCs w:val="18"/>
                      <w:lang w:eastAsia="tr-TR"/>
                    </w:rPr>
                    <w:t xml:space="preserve"> (1) 30/12/2020 tarihli ve 31350 sayılı Resmî </w:t>
                  </w:r>
                  <w:proofErr w:type="spellStart"/>
                  <w:r w:rsidRPr="005D7AC0">
                    <w:rPr>
                      <w:rFonts w:ascii="Times New Roman" w:eastAsia="Times New Roman" w:hAnsi="Times New Roman" w:cs="Times New Roman"/>
                      <w:sz w:val="18"/>
                      <w:szCs w:val="18"/>
                      <w:lang w:eastAsia="tr-TR"/>
                    </w:rPr>
                    <w:t>Gazete’de</w:t>
                  </w:r>
                  <w:proofErr w:type="spellEnd"/>
                  <w:r w:rsidRPr="005D7AC0">
                    <w:rPr>
                      <w:rFonts w:ascii="Times New Roman" w:eastAsia="Times New Roman" w:hAnsi="Times New Roman" w:cs="Times New Roman"/>
                      <w:sz w:val="18"/>
                      <w:szCs w:val="18"/>
                      <w:lang w:eastAsia="tr-TR"/>
                    </w:rPr>
                    <w:t xml:space="preserve"> yayımlanan İthalatta Kota ve Tarife Kontenjanı İdaresine İlişkin Tebliğ (Tebliğ No: 2021/1) ile 30/12/2020 tarihli ve 31350 sayılı Resmî </w:t>
                  </w:r>
                  <w:proofErr w:type="spellStart"/>
                  <w:r w:rsidRPr="005D7AC0">
                    <w:rPr>
                      <w:rFonts w:ascii="Times New Roman" w:eastAsia="Times New Roman" w:hAnsi="Times New Roman" w:cs="Times New Roman"/>
                      <w:sz w:val="18"/>
                      <w:szCs w:val="18"/>
                      <w:lang w:eastAsia="tr-TR"/>
                    </w:rPr>
                    <w:t>Gazete’de</w:t>
                  </w:r>
                  <w:proofErr w:type="spellEnd"/>
                  <w:r w:rsidRPr="005D7AC0">
                    <w:rPr>
                      <w:rFonts w:ascii="Times New Roman" w:eastAsia="Times New Roman" w:hAnsi="Times New Roman" w:cs="Times New Roman"/>
                      <w:sz w:val="18"/>
                      <w:szCs w:val="18"/>
                      <w:lang w:eastAsia="tr-TR"/>
                    </w:rPr>
                    <w:t xml:space="preserve"> yayımlanan İthalatta Kota ve Tarife Kontenjanı İdaresine İlişkin Tebliğ (Tebliğ No: 2021/2) yürürlükten kaldırılmıştır.</w:t>
                  </w:r>
                  <w:proofErr w:type="gramEnd"/>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Yürürlük</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13 –</w:t>
                  </w:r>
                  <w:r w:rsidRPr="005D7AC0">
                    <w:rPr>
                      <w:rFonts w:ascii="Times New Roman" w:eastAsia="Times New Roman" w:hAnsi="Times New Roman" w:cs="Times New Roman"/>
                      <w:sz w:val="18"/>
                      <w:szCs w:val="18"/>
                      <w:lang w:eastAsia="tr-TR"/>
                    </w:rPr>
                    <w:t> (1) Bu Tebliğ yayımı tarihinde yürürlüğe girer.</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Yürütme</w:t>
                  </w:r>
                </w:p>
                <w:p w:rsidR="005D7AC0" w:rsidRPr="005D7AC0" w:rsidRDefault="005D7AC0" w:rsidP="005D7AC0">
                  <w:pPr>
                    <w:spacing w:after="0" w:line="240" w:lineRule="atLeast"/>
                    <w:ind w:firstLine="566"/>
                    <w:jc w:val="both"/>
                    <w:rPr>
                      <w:rFonts w:ascii="Times New Roman" w:eastAsia="Times New Roman" w:hAnsi="Times New Roman" w:cs="Times New Roman"/>
                      <w:sz w:val="19"/>
                      <w:szCs w:val="19"/>
                      <w:lang w:eastAsia="tr-TR"/>
                    </w:rPr>
                  </w:pPr>
                  <w:r w:rsidRPr="005D7AC0">
                    <w:rPr>
                      <w:rFonts w:ascii="Times New Roman" w:eastAsia="Times New Roman" w:hAnsi="Times New Roman" w:cs="Times New Roman"/>
                      <w:b/>
                      <w:bCs/>
                      <w:sz w:val="18"/>
                      <w:szCs w:val="18"/>
                      <w:lang w:eastAsia="tr-TR"/>
                    </w:rPr>
                    <w:t>MADDE 14 –</w:t>
                  </w:r>
                  <w:r w:rsidRPr="005D7AC0">
                    <w:rPr>
                      <w:rFonts w:ascii="Times New Roman" w:eastAsia="Times New Roman" w:hAnsi="Times New Roman" w:cs="Times New Roman"/>
                      <w:sz w:val="18"/>
                      <w:szCs w:val="18"/>
                      <w:lang w:eastAsia="tr-TR"/>
                    </w:rPr>
                    <w:t> (1) Bu Tebliğ hükümlerini Ticaret Bakanı yürütür.</w:t>
                  </w:r>
                </w:p>
                <w:p w:rsidR="005D7AC0" w:rsidRPr="005D7AC0" w:rsidRDefault="005D7AC0" w:rsidP="005D7AC0">
                  <w:pPr>
                    <w:spacing w:after="0" w:line="240" w:lineRule="atLeast"/>
                    <w:jc w:val="center"/>
                    <w:rPr>
                      <w:rFonts w:ascii="Times New Roman" w:eastAsia="Times New Roman" w:hAnsi="Times New Roman" w:cs="Times New Roman"/>
                      <w:sz w:val="19"/>
                      <w:szCs w:val="19"/>
                      <w:lang w:eastAsia="tr-TR"/>
                    </w:rPr>
                  </w:pPr>
                  <w:r w:rsidRPr="005D7AC0">
                    <w:rPr>
                      <w:rFonts w:ascii="Times New Roman" w:eastAsia="Times New Roman" w:hAnsi="Times New Roman" w:cs="Times New Roman"/>
                      <w:sz w:val="18"/>
                      <w:szCs w:val="18"/>
                      <w:lang w:eastAsia="tr-TR"/>
                    </w:rPr>
                    <w:t> </w:t>
                  </w:r>
                </w:p>
                <w:p w:rsidR="005D7AC0" w:rsidRPr="005D7AC0" w:rsidRDefault="005D7AC0" w:rsidP="005D7AC0">
                  <w:pPr>
                    <w:spacing w:after="0" w:line="240" w:lineRule="atLeast"/>
                    <w:rPr>
                      <w:rFonts w:ascii="Times New Roman" w:eastAsia="Times New Roman" w:hAnsi="Times New Roman" w:cs="Times New Roman"/>
                      <w:sz w:val="19"/>
                      <w:szCs w:val="19"/>
                      <w:lang w:eastAsia="tr-TR"/>
                    </w:rPr>
                  </w:pPr>
                  <w:hyperlink r:id="rId4" w:history="1">
                    <w:r w:rsidRPr="005D7AC0">
                      <w:rPr>
                        <w:rFonts w:ascii="Times New Roman" w:eastAsia="Times New Roman" w:hAnsi="Times New Roman" w:cs="Times New Roman"/>
                        <w:b/>
                        <w:bCs/>
                        <w:color w:val="0000FF"/>
                        <w:sz w:val="18"/>
                        <w:szCs w:val="18"/>
                        <w:u w:val="single"/>
                        <w:lang w:eastAsia="tr-TR"/>
                      </w:rPr>
                      <w:t>Ekleri için tıklayınız.</w:t>
                    </w:r>
                  </w:hyperlink>
                </w:p>
                <w:p w:rsidR="005D7AC0" w:rsidRPr="005D7AC0" w:rsidRDefault="005D7AC0" w:rsidP="005D7A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7AC0">
                    <w:rPr>
                      <w:rFonts w:ascii="Arial" w:eastAsia="Times New Roman" w:hAnsi="Arial" w:cs="Arial"/>
                      <w:b/>
                      <w:bCs/>
                      <w:color w:val="000080"/>
                      <w:sz w:val="18"/>
                      <w:szCs w:val="18"/>
                      <w:lang w:eastAsia="tr-TR"/>
                    </w:rPr>
                    <w:t> </w:t>
                  </w:r>
                </w:p>
              </w:tc>
            </w:tr>
          </w:tbl>
          <w:p w:rsidR="005D7AC0" w:rsidRPr="005D7AC0" w:rsidRDefault="005D7AC0" w:rsidP="005D7AC0">
            <w:pPr>
              <w:spacing w:after="0" w:line="240" w:lineRule="auto"/>
              <w:rPr>
                <w:rFonts w:ascii="Times New Roman" w:eastAsia="Times New Roman" w:hAnsi="Times New Roman" w:cs="Times New Roman"/>
                <w:sz w:val="24"/>
                <w:szCs w:val="24"/>
                <w:lang w:eastAsia="tr-TR"/>
              </w:rPr>
            </w:pPr>
          </w:p>
        </w:tc>
      </w:tr>
    </w:tbl>
    <w:p w:rsidR="005D7AC0" w:rsidRPr="005D7AC0" w:rsidRDefault="005D7AC0" w:rsidP="005D7AC0">
      <w:pPr>
        <w:spacing w:after="0" w:line="240" w:lineRule="auto"/>
        <w:jc w:val="center"/>
        <w:rPr>
          <w:rFonts w:ascii="Times New Roman" w:eastAsia="Times New Roman" w:hAnsi="Times New Roman" w:cs="Times New Roman"/>
          <w:color w:val="000000"/>
          <w:sz w:val="27"/>
          <w:szCs w:val="27"/>
          <w:lang w:eastAsia="tr-TR"/>
        </w:rPr>
      </w:pPr>
      <w:r w:rsidRPr="005D7AC0">
        <w:rPr>
          <w:rFonts w:ascii="Times New Roman" w:eastAsia="Times New Roman" w:hAnsi="Times New Roman" w:cs="Times New Roman"/>
          <w:color w:val="000000"/>
          <w:sz w:val="27"/>
          <w:szCs w:val="27"/>
          <w:lang w:eastAsia="tr-TR"/>
        </w:rPr>
        <w:t> </w:t>
      </w:r>
    </w:p>
    <w:p w:rsidR="00CD2708" w:rsidRDefault="00CD2708">
      <w:bookmarkStart w:id="0" w:name="_GoBack"/>
      <w:bookmarkEnd w:id="0"/>
    </w:p>
    <w:sectPr w:rsidR="00CD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6E"/>
    <w:rsid w:val="0033326E"/>
    <w:rsid w:val="005D7AC0"/>
    <w:rsid w:val="00CD2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02812-A3CB-4CB4-AFE9-67D7B18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3/20210325-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2021-03-25T06:47:00Z</dcterms:created>
  <dcterms:modified xsi:type="dcterms:W3CDTF">2021-03-25T06:47:00Z</dcterms:modified>
</cp:coreProperties>
</file>