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5B" w:rsidRPr="00DB5088" w:rsidRDefault="00DB5088" w:rsidP="002F62F7">
      <w:pPr>
        <w:jc w:val="center"/>
        <w:rPr>
          <w:b/>
        </w:rPr>
      </w:pPr>
      <w:r w:rsidRPr="00DB5088">
        <w:rPr>
          <w:b/>
        </w:rPr>
        <w:t>---</w:t>
      </w:r>
      <w:r w:rsidR="00EB5B7F" w:rsidRPr="00DB5088">
        <w:rPr>
          <w:b/>
        </w:rPr>
        <w:t>BEDELİ YURDA GETİRİLME ZORUNLULUĞU OLMAYAN İHRACATLAR</w:t>
      </w:r>
      <w:r w:rsidRPr="00DB5088">
        <w:rPr>
          <w:b/>
        </w:rPr>
        <w:t>---</w:t>
      </w:r>
    </w:p>
    <w:p w:rsidR="00EB5B7F" w:rsidRPr="009B78F9" w:rsidRDefault="00EB5B7F" w:rsidP="00DB5088">
      <w:pPr>
        <w:pStyle w:val="GvdeMetni"/>
        <w:tabs>
          <w:tab w:val="left" w:pos="993"/>
        </w:tabs>
        <w:ind w:left="0" w:firstLine="0"/>
        <w:rPr>
          <w:rFonts w:asciiTheme="minorHAnsi" w:eastAsiaTheme="minorHAnsi" w:hAnsiTheme="minorHAnsi" w:cstheme="minorBidi"/>
          <w:sz w:val="22"/>
          <w:szCs w:val="22"/>
        </w:rPr>
      </w:pPr>
      <w:r w:rsidRPr="009B78F9">
        <w:rPr>
          <w:rFonts w:asciiTheme="minorHAnsi" w:eastAsiaTheme="minorHAnsi" w:hAnsiTheme="minorHAnsi" w:cstheme="minorBidi"/>
          <w:sz w:val="22"/>
          <w:szCs w:val="22"/>
        </w:rPr>
        <w:t xml:space="preserve">Bilindiği üzere ihracat bedellerinin yurda getirilmesi hakkında yayımlanan 2018-32/48 sayılı tebliğe dayanılarak çıkartılan 2018/Bila sayılı Merkez Bankası ihracat genelgesine göre, ihracat bedellerinin </w:t>
      </w:r>
      <w:r w:rsidRPr="002F62F7">
        <w:rPr>
          <w:rFonts w:asciiTheme="minorHAnsi" w:eastAsiaTheme="minorHAnsi" w:hAnsiTheme="minorHAnsi" w:cstheme="minorBidi"/>
          <w:b/>
          <w:sz w:val="22"/>
          <w:szCs w:val="22"/>
        </w:rPr>
        <w:t xml:space="preserve">fiili ihraç tarihinden itibaren 180 gün içinde </w:t>
      </w:r>
      <w:r w:rsidRPr="002F62F7">
        <w:rPr>
          <w:rFonts w:asciiTheme="minorHAnsi" w:eastAsiaTheme="minorHAnsi" w:hAnsiTheme="minorHAnsi" w:cstheme="minorBidi"/>
          <w:sz w:val="22"/>
          <w:szCs w:val="22"/>
        </w:rPr>
        <w:t>yurda getirilmesi</w:t>
      </w:r>
      <w:r w:rsidRPr="009B78F9">
        <w:rPr>
          <w:rFonts w:asciiTheme="minorHAnsi" w:eastAsiaTheme="minorHAnsi" w:hAnsiTheme="minorHAnsi" w:cstheme="minorBidi"/>
          <w:sz w:val="22"/>
          <w:szCs w:val="22"/>
        </w:rPr>
        <w:t xml:space="preserve"> gerekmektedir. 180 gün azami süre olup bedellerin ithalatçının ödemesini müteakip doğrudan ve gecikmeksizin yurda getirilmesi esastır.</w:t>
      </w:r>
    </w:p>
    <w:p w:rsidR="00DB5088" w:rsidRDefault="00DB5088" w:rsidP="00EB5B7F">
      <w:pPr>
        <w:rPr>
          <w:rFonts w:ascii="Times New Roman" w:eastAsia="Times New Roman" w:hAnsi="Times New Roman" w:cs="Times New Roman"/>
        </w:rPr>
      </w:pPr>
    </w:p>
    <w:p w:rsidR="00EB5B7F" w:rsidRDefault="00EB5B7F" w:rsidP="00EB5B7F">
      <w:r>
        <w:t>Ancak söz konusu genelgenin 22. Maddesine göre aşağıdaki işleml</w:t>
      </w:r>
      <w:r w:rsidR="00DB5088">
        <w:t>er sonucunda elde edilen bedellerin Türkiye’ye getirilme</w:t>
      </w:r>
      <w:r>
        <w:t xml:space="preserve"> zorunluluğu </w:t>
      </w:r>
      <w:r w:rsidRPr="002F62F7">
        <w:rPr>
          <w:b/>
        </w:rPr>
        <w:t>bulunmamakta</w:t>
      </w:r>
      <w:r>
        <w:t xml:space="preserve"> olup, ihracatçının serbest kullanıma bırakılmıştır.</w:t>
      </w:r>
      <w:bookmarkStart w:id="0" w:name="_Hlk86314988"/>
    </w:p>
    <w:bookmarkEnd w:id="0"/>
    <w:p w:rsidR="00EB5B7F" w:rsidRPr="00311BCB" w:rsidRDefault="00EB5B7F" w:rsidP="00EB5B7F">
      <w:pPr>
        <w:rPr>
          <w:b/>
        </w:rPr>
      </w:pPr>
      <w:r w:rsidRPr="00311BCB">
        <w:rPr>
          <w:b/>
        </w:rPr>
        <w:t xml:space="preserve">-Hizmet ihracatı, </w:t>
      </w:r>
    </w:p>
    <w:p w:rsidR="009B78F9" w:rsidRPr="00311BCB" w:rsidRDefault="009B78F9" w:rsidP="00EB5B7F">
      <w:pPr>
        <w:rPr>
          <w:b/>
        </w:rPr>
      </w:pPr>
      <w:r w:rsidRPr="00311BCB">
        <w:rPr>
          <w:b/>
        </w:rPr>
        <w:t>-T</w:t>
      </w:r>
      <w:r w:rsidR="00EB5B7F" w:rsidRPr="00311BCB">
        <w:rPr>
          <w:b/>
        </w:rPr>
        <w:t xml:space="preserve">ransit ticaret, </w:t>
      </w:r>
    </w:p>
    <w:p w:rsidR="009B78F9" w:rsidRPr="00311BCB" w:rsidRDefault="009B78F9" w:rsidP="00EB5B7F">
      <w:pPr>
        <w:rPr>
          <w:b/>
        </w:rPr>
      </w:pPr>
      <w:r w:rsidRPr="00311BCB">
        <w:rPr>
          <w:b/>
        </w:rPr>
        <w:t>-</w:t>
      </w:r>
      <w:r w:rsidR="00EB5B7F" w:rsidRPr="00311BCB">
        <w:rPr>
          <w:b/>
        </w:rPr>
        <w:t>Türkiye’de ikamet etmeyenlere özel fatura ile yapılan satış,</w:t>
      </w:r>
    </w:p>
    <w:p w:rsidR="009B78F9" w:rsidRPr="00311BCB" w:rsidRDefault="00EB5B7F" w:rsidP="00EB5B7F">
      <w:pPr>
        <w:rPr>
          <w:b/>
        </w:rPr>
      </w:pPr>
      <w:r w:rsidRPr="00311BCB">
        <w:rPr>
          <w:b/>
        </w:rPr>
        <w:t xml:space="preserve"> </w:t>
      </w:r>
      <w:r w:rsidR="009B78F9" w:rsidRPr="00311BCB">
        <w:rPr>
          <w:b/>
        </w:rPr>
        <w:t>-</w:t>
      </w:r>
      <w:r w:rsidRPr="00311BCB">
        <w:rPr>
          <w:b/>
        </w:rPr>
        <w:t>Türkiye’de ikamet etmeyenlere KDV hesaplanarak yapılan satış,</w:t>
      </w:r>
    </w:p>
    <w:p w:rsidR="009B78F9" w:rsidRPr="00311BCB" w:rsidRDefault="009B78F9" w:rsidP="00EB5B7F">
      <w:pPr>
        <w:rPr>
          <w:b/>
        </w:rPr>
      </w:pPr>
      <w:r w:rsidRPr="00311BCB">
        <w:rPr>
          <w:b/>
        </w:rPr>
        <w:t>-Mikro ihracat,</w:t>
      </w:r>
    </w:p>
    <w:p w:rsidR="009B78F9" w:rsidRPr="00311BCB" w:rsidRDefault="009B78F9" w:rsidP="00EB5B7F">
      <w:pPr>
        <w:rPr>
          <w:b/>
        </w:rPr>
      </w:pPr>
      <w:r w:rsidRPr="00311BCB">
        <w:rPr>
          <w:b/>
        </w:rPr>
        <w:t>-S</w:t>
      </w:r>
      <w:r w:rsidR="00EB5B7F" w:rsidRPr="00311BCB">
        <w:rPr>
          <w:b/>
        </w:rPr>
        <w:t>erbest bölge işlem formu kapsamında gerçekleştirilen 5.000,- ABD doları veya karşılığı döviz ya da Türk lirasını geçmeyen tutardaki ihracat işlemler</w:t>
      </w:r>
      <w:r w:rsidRPr="00311BCB">
        <w:rPr>
          <w:b/>
        </w:rPr>
        <w:t>i,</w:t>
      </w:r>
    </w:p>
    <w:p w:rsidR="009B78F9" w:rsidRPr="00311BCB" w:rsidRDefault="009B78F9" w:rsidP="00EB5B7F">
      <w:pPr>
        <w:rPr>
          <w:b/>
        </w:rPr>
      </w:pPr>
      <w:r w:rsidRPr="00311BCB">
        <w:rPr>
          <w:b/>
        </w:rPr>
        <w:t>-Aşağıda yer alan 29 ülkeye yapılan ihracat işlemlerinde bedellerin tamamı,</w:t>
      </w:r>
    </w:p>
    <w:p w:rsidR="009B78F9" w:rsidRDefault="009B78F9" w:rsidP="009B78F9">
      <w:pPr>
        <w:tabs>
          <w:tab w:val="left" w:pos="993"/>
        </w:tabs>
      </w:pPr>
      <w:r>
        <w:t xml:space="preserve">1- Afganistan </w:t>
      </w:r>
    </w:p>
    <w:p w:rsidR="009B78F9" w:rsidRDefault="009B78F9" w:rsidP="009B78F9">
      <w:pPr>
        <w:tabs>
          <w:tab w:val="left" w:pos="993"/>
        </w:tabs>
      </w:pPr>
      <w:r>
        <w:t xml:space="preserve">2- Angola </w:t>
      </w:r>
    </w:p>
    <w:p w:rsidR="009B78F9" w:rsidRDefault="009B78F9" w:rsidP="009B78F9">
      <w:pPr>
        <w:tabs>
          <w:tab w:val="left" w:pos="993"/>
        </w:tabs>
      </w:pPr>
      <w:r>
        <w:t xml:space="preserve">3- Belarus </w:t>
      </w:r>
    </w:p>
    <w:p w:rsidR="009B78F9" w:rsidRDefault="009B78F9" w:rsidP="009B78F9">
      <w:pPr>
        <w:tabs>
          <w:tab w:val="left" w:pos="993"/>
        </w:tabs>
      </w:pPr>
      <w:r>
        <w:t xml:space="preserve">4- Benin </w:t>
      </w:r>
    </w:p>
    <w:p w:rsidR="009B78F9" w:rsidRDefault="009B78F9" w:rsidP="009B78F9">
      <w:pPr>
        <w:tabs>
          <w:tab w:val="left" w:pos="993"/>
        </w:tabs>
      </w:pPr>
      <w:r>
        <w:t xml:space="preserve">5- Cibuti </w:t>
      </w:r>
    </w:p>
    <w:p w:rsidR="009B78F9" w:rsidRDefault="009B78F9" w:rsidP="009B78F9">
      <w:pPr>
        <w:tabs>
          <w:tab w:val="left" w:pos="993"/>
        </w:tabs>
      </w:pPr>
      <w:r>
        <w:t xml:space="preserve">6- Etiyopya </w:t>
      </w:r>
    </w:p>
    <w:p w:rsidR="009B78F9" w:rsidRDefault="009B78F9" w:rsidP="009B78F9">
      <w:pPr>
        <w:tabs>
          <w:tab w:val="left" w:pos="993"/>
        </w:tabs>
      </w:pPr>
      <w:r>
        <w:t xml:space="preserve">7- Fildişi Sahili </w:t>
      </w:r>
    </w:p>
    <w:p w:rsidR="009B78F9" w:rsidRDefault="009B78F9" w:rsidP="009B78F9">
      <w:pPr>
        <w:tabs>
          <w:tab w:val="left" w:pos="993"/>
        </w:tabs>
      </w:pPr>
      <w:r>
        <w:t xml:space="preserve">8- Filistin </w:t>
      </w:r>
    </w:p>
    <w:p w:rsidR="009B78F9" w:rsidRDefault="009B78F9" w:rsidP="009B78F9">
      <w:pPr>
        <w:tabs>
          <w:tab w:val="left" w:pos="993"/>
        </w:tabs>
      </w:pPr>
      <w:r>
        <w:t xml:space="preserve">9- Gabon </w:t>
      </w:r>
    </w:p>
    <w:p w:rsidR="009B78F9" w:rsidRDefault="009B78F9" w:rsidP="009B78F9">
      <w:pPr>
        <w:tabs>
          <w:tab w:val="left" w:pos="993"/>
        </w:tabs>
      </w:pPr>
      <w:r>
        <w:t xml:space="preserve">10- Gana </w:t>
      </w:r>
    </w:p>
    <w:p w:rsidR="009B78F9" w:rsidRDefault="009B78F9" w:rsidP="009B78F9">
      <w:pPr>
        <w:tabs>
          <w:tab w:val="left" w:pos="993"/>
        </w:tabs>
      </w:pPr>
      <w:r>
        <w:t xml:space="preserve">11- Gine </w:t>
      </w:r>
    </w:p>
    <w:p w:rsidR="009B78F9" w:rsidRDefault="009B78F9" w:rsidP="009B78F9">
      <w:pPr>
        <w:tabs>
          <w:tab w:val="left" w:pos="993"/>
        </w:tabs>
      </w:pPr>
      <w:r>
        <w:t xml:space="preserve">12- İran </w:t>
      </w:r>
    </w:p>
    <w:p w:rsidR="009B78F9" w:rsidRDefault="009B78F9" w:rsidP="009B78F9">
      <w:pPr>
        <w:tabs>
          <w:tab w:val="left" w:pos="993"/>
        </w:tabs>
      </w:pPr>
      <w:r>
        <w:t xml:space="preserve">13- Kamerun </w:t>
      </w:r>
    </w:p>
    <w:p w:rsidR="009B78F9" w:rsidRDefault="009B78F9" w:rsidP="009B78F9">
      <w:pPr>
        <w:tabs>
          <w:tab w:val="left" w:pos="993"/>
        </w:tabs>
      </w:pPr>
      <w:r>
        <w:t xml:space="preserve">14- Kenya </w:t>
      </w:r>
    </w:p>
    <w:p w:rsidR="009B78F9" w:rsidRDefault="009B78F9" w:rsidP="009B78F9">
      <w:pPr>
        <w:tabs>
          <w:tab w:val="left" w:pos="993"/>
        </w:tabs>
      </w:pPr>
      <w:r>
        <w:t xml:space="preserve">15- Kırgızistan </w:t>
      </w:r>
    </w:p>
    <w:p w:rsidR="009B78F9" w:rsidRDefault="009B78F9" w:rsidP="009B78F9">
      <w:pPr>
        <w:tabs>
          <w:tab w:val="left" w:pos="993"/>
        </w:tabs>
      </w:pPr>
      <w:r>
        <w:t xml:space="preserve">16- Kuzey Kore </w:t>
      </w:r>
    </w:p>
    <w:p w:rsidR="009B78F9" w:rsidRDefault="009B78F9" w:rsidP="009B78F9">
      <w:pPr>
        <w:tabs>
          <w:tab w:val="left" w:pos="993"/>
        </w:tabs>
      </w:pPr>
      <w:r>
        <w:t xml:space="preserve">17- Küba </w:t>
      </w:r>
    </w:p>
    <w:p w:rsidR="009B78F9" w:rsidRDefault="009B78F9" w:rsidP="009B78F9">
      <w:pPr>
        <w:tabs>
          <w:tab w:val="left" w:pos="993"/>
        </w:tabs>
      </w:pPr>
      <w:r>
        <w:t xml:space="preserve">18- Liberya </w:t>
      </w:r>
    </w:p>
    <w:p w:rsidR="009B78F9" w:rsidRDefault="009B78F9" w:rsidP="009B78F9">
      <w:pPr>
        <w:tabs>
          <w:tab w:val="left" w:pos="993"/>
        </w:tabs>
      </w:pPr>
      <w:r>
        <w:t xml:space="preserve">19- Lübnan </w:t>
      </w:r>
    </w:p>
    <w:p w:rsidR="009B78F9" w:rsidRDefault="009B78F9" w:rsidP="009B78F9">
      <w:pPr>
        <w:tabs>
          <w:tab w:val="left" w:pos="993"/>
        </w:tabs>
      </w:pPr>
      <w:r>
        <w:t xml:space="preserve">20- Moldova </w:t>
      </w:r>
    </w:p>
    <w:p w:rsidR="009B78F9" w:rsidRDefault="009B78F9" w:rsidP="009B78F9">
      <w:pPr>
        <w:tabs>
          <w:tab w:val="left" w:pos="993"/>
        </w:tabs>
      </w:pPr>
      <w:r>
        <w:t xml:space="preserve">21- Nijerya </w:t>
      </w:r>
    </w:p>
    <w:p w:rsidR="009B78F9" w:rsidRDefault="009B78F9" w:rsidP="009B78F9">
      <w:pPr>
        <w:tabs>
          <w:tab w:val="left" w:pos="993"/>
        </w:tabs>
      </w:pPr>
      <w:r>
        <w:t xml:space="preserve">22- Senegal </w:t>
      </w:r>
    </w:p>
    <w:p w:rsidR="009B78F9" w:rsidRDefault="009B78F9" w:rsidP="009B78F9">
      <w:pPr>
        <w:tabs>
          <w:tab w:val="left" w:pos="993"/>
        </w:tabs>
      </w:pPr>
      <w:r>
        <w:t xml:space="preserve">23- Somali </w:t>
      </w:r>
    </w:p>
    <w:p w:rsidR="009B78F9" w:rsidRDefault="009B78F9" w:rsidP="009B78F9">
      <w:pPr>
        <w:tabs>
          <w:tab w:val="left" w:pos="993"/>
        </w:tabs>
      </w:pPr>
      <w:r>
        <w:t xml:space="preserve">24- Sudan </w:t>
      </w:r>
    </w:p>
    <w:p w:rsidR="009B78F9" w:rsidRDefault="009B78F9" w:rsidP="009B78F9">
      <w:pPr>
        <w:tabs>
          <w:tab w:val="left" w:pos="993"/>
        </w:tabs>
      </w:pPr>
      <w:r>
        <w:t xml:space="preserve">25- Suriye </w:t>
      </w:r>
    </w:p>
    <w:p w:rsidR="009B78F9" w:rsidRDefault="009B78F9" w:rsidP="009B78F9">
      <w:pPr>
        <w:tabs>
          <w:tab w:val="left" w:pos="993"/>
        </w:tabs>
      </w:pPr>
      <w:r>
        <w:t xml:space="preserve">26- Suudi Arabistan </w:t>
      </w:r>
    </w:p>
    <w:p w:rsidR="009B78F9" w:rsidRDefault="009B78F9" w:rsidP="009B78F9">
      <w:pPr>
        <w:tabs>
          <w:tab w:val="left" w:pos="993"/>
        </w:tabs>
      </w:pPr>
      <w:r>
        <w:t xml:space="preserve">27- Tacikistan </w:t>
      </w:r>
    </w:p>
    <w:p w:rsidR="009B78F9" w:rsidRDefault="009B78F9" w:rsidP="009B78F9">
      <w:pPr>
        <w:tabs>
          <w:tab w:val="left" w:pos="993"/>
        </w:tabs>
      </w:pPr>
      <w:r>
        <w:t xml:space="preserve">28- Tanzanya </w:t>
      </w:r>
    </w:p>
    <w:p w:rsidR="009B78F9" w:rsidRDefault="009B78F9" w:rsidP="009B78F9">
      <w:pPr>
        <w:tabs>
          <w:tab w:val="left" w:pos="993"/>
        </w:tabs>
      </w:pPr>
      <w:r>
        <w:t>29- Venezuela</w:t>
      </w:r>
    </w:p>
    <w:p w:rsidR="00EB5B7F" w:rsidRPr="00311BCB" w:rsidRDefault="009B78F9" w:rsidP="00EB5B7F">
      <w:pPr>
        <w:rPr>
          <w:b/>
        </w:rPr>
      </w:pPr>
      <w:r w:rsidRPr="00311BCB">
        <w:rPr>
          <w:b/>
        </w:rPr>
        <w:t xml:space="preserve">-Aşağıda yer alan 10 ülkeye </w:t>
      </w:r>
      <w:r w:rsidR="00EB5B7F" w:rsidRPr="00311BCB">
        <w:rPr>
          <w:b/>
        </w:rPr>
        <w:t>y</w:t>
      </w:r>
      <w:r w:rsidRPr="00311BCB">
        <w:rPr>
          <w:b/>
        </w:rPr>
        <w:t xml:space="preserve">apılan ihracat işlemlerinde </w:t>
      </w:r>
      <w:r w:rsidR="00EB5B7F" w:rsidRPr="00311BCB">
        <w:rPr>
          <w:b/>
        </w:rPr>
        <w:t xml:space="preserve">bedellerin yüzde </w:t>
      </w:r>
      <w:r w:rsidRPr="00311BCB">
        <w:rPr>
          <w:b/>
        </w:rPr>
        <w:t xml:space="preserve">ellisi, </w:t>
      </w:r>
    </w:p>
    <w:p w:rsidR="009B78F9" w:rsidRDefault="009B78F9" w:rsidP="009B78F9">
      <w:pPr>
        <w:tabs>
          <w:tab w:val="left" w:pos="993"/>
        </w:tabs>
      </w:pPr>
      <w:r>
        <w:t xml:space="preserve">1- Azerbaycan </w:t>
      </w:r>
    </w:p>
    <w:p w:rsidR="009B78F9" w:rsidRDefault="009B78F9" w:rsidP="009B78F9">
      <w:pPr>
        <w:tabs>
          <w:tab w:val="left" w:pos="993"/>
        </w:tabs>
      </w:pPr>
      <w:r>
        <w:t xml:space="preserve">2- Cezayir </w:t>
      </w:r>
    </w:p>
    <w:p w:rsidR="009B78F9" w:rsidRDefault="009B78F9" w:rsidP="009B78F9">
      <w:pPr>
        <w:tabs>
          <w:tab w:val="left" w:pos="993"/>
        </w:tabs>
      </w:pPr>
      <w:r>
        <w:t xml:space="preserve">3- Fas </w:t>
      </w:r>
    </w:p>
    <w:p w:rsidR="009B78F9" w:rsidRDefault="009B78F9" w:rsidP="009B78F9">
      <w:pPr>
        <w:tabs>
          <w:tab w:val="left" w:pos="993"/>
        </w:tabs>
      </w:pPr>
      <w:r>
        <w:t xml:space="preserve">4- Kazakistan </w:t>
      </w:r>
    </w:p>
    <w:p w:rsidR="009B78F9" w:rsidRDefault="009B78F9" w:rsidP="009B78F9">
      <w:pPr>
        <w:tabs>
          <w:tab w:val="left" w:pos="993"/>
        </w:tabs>
      </w:pPr>
      <w:r>
        <w:t xml:space="preserve">5- Mısır </w:t>
      </w:r>
    </w:p>
    <w:p w:rsidR="009B78F9" w:rsidRDefault="009B78F9" w:rsidP="009B78F9">
      <w:pPr>
        <w:tabs>
          <w:tab w:val="left" w:pos="993"/>
        </w:tabs>
      </w:pPr>
      <w:r>
        <w:t xml:space="preserve">6- Özbekistan </w:t>
      </w:r>
    </w:p>
    <w:p w:rsidR="009B78F9" w:rsidRDefault="009B78F9" w:rsidP="009B78F9">
      <w:pPr>
        <w:tabs>
          <w:tab w:val="left" w:pos="993"/>
        </w:tabs>
      </w:pPr>
      <w:r>
        <w:t xml:space="preserve">7- Tunus </w:t>
      </w:r>
    </w:p>
    <w:p w:rsidR="009B78F9" w:rsidRDefault="009B78F9" w:rsidP="009B78F9">
      <w:pPr>
        <w:tabs>
          <w:tab w:val="left" w:pos="993"/>
        </w:tabs>
      </w:pPr>
      <w:r>
        <w:t xml:space="preserve">8- Türkmenistan </w:t>
      </w:r>
    </w:p>
    <w:p w:rsidR="009B78F9" w:rsidRDefault="009B78F9" w:rsidP="009B78F9">
      <w:pPr>
        <w:tabs>
          <w:tab w:val="left" w:pos="993"/>
        </w:tabs>
      </w:pPr>
      <w:r>
        <w:t xml:space="preserve">9- Ukrayna </w:t>
      </w:r>
    </w:p>
    <w:p w:rsidR="009B78F9" w:rsidRDefault="009B78F9" w:rsidP="009B78F9">
      <w:pPr>
        <w:tabs>
          <w:tab w:val="left" w:pos="993"/>
        </w:tabs>
      </w:pPr>
      <w:r>
        <w:t>10- Yemen</w:t>
      </w:r>
    </w:p>
    <w:p w:rsidR="009B78F9" w:rsidRPr="00311BCB" w:rsidRDefault="009B78F9" w:rsidP="009B78F9">
      <w:pPr>
        <w:tabs>
          <w:tab w:val="left" w:pos="993"/>
        </w:tabs>
        <w:spacing w:before="144"/>
        <w:jc w:val="both"/>
        <w:rPr>
          <w:b/>
        </w:rPr>
      </w:pPr>
      <w:r w:rsidRPr="00311BCB">
        <w:rPr>
          <w:b/>
        </w:rPr>
        <w:t>Bunun haricinde söz konusu genelgenin 28. Maddesine göre;</w:t>
      </w:r>
    </w:p>
    <w:p w:rsidR="009B78F9" w:rsidRPr="00DB5088" w:rsidRDefault="009B78F9" w:rsidP="009B78F9">
      <w:pPr>
        <w:tabs>
          <w:tab w:val="left" w:pos="993"/>
        </w:tabs>
        <w:spacing w:before="144"/>
        <w:jc w:val="both"/>
        <w:rPr>
          <w:b/>
        </w:rPr>
      </w:pPr>
      <w:r w:rsidRPr="00DB5088">
        <w:rPr>
          <w:b/>
        </w:rPr>
        <w:t>Her bir gümrük beyannamesi itibarıyla;</w:t>
      </w:r>
    </w:p>
    <w:p w:rsidR="009B78F9" w:rsidRPr="009B78F9" w:rsidRDefault="009B78F9" w:rsidP="009B78F9">
      <w:pPr>
        <w:tabs>
          <w:tab w:val="left" w:pos="993"/>
          <w:tab w:val="left" w:pos="1239"/>
        </w:tabs>
        <w:spacing w:before="144"/>
      </w:pPr>
      <w:r w:rsidRPr="00403292">
        <w:rPr>
          <w:b/>
        </w:rPr>
        <w:t>-30.000</w:t>
      </w:r>
      <w:r w:rsidRPr="009B78F9">
        <w:t xml:space="preserve"> ABD doları veya eşitine kadar noksanlığı olan ihracat hesapları doğrudan bankalarca ödeme şekline ve toplam beyanname tutarına olan oranına bakılmaksızın,</w:t>
      </w:r>
    </w:p>
    <w:p w:rsidR="009B78F9" w:rsidRPr="009B78F9" w:rsidRDefault="009B78F9" w:rsidP="009B78F9">
      <w:pPr>
        <w:tabs>
          <w:tab w:val="left" w:pos="993"/>
          <w:tab w:val="left" w:pos="1267"/>
        </w:tabs>
        <w:spacing w:before="119"/>
      </w:pPr>
      <w:r w:rsidRPr="00403292">
        <w:rPr>
          <w:b/>
        </w:rPr>
        <w:t>-30.000</w:t>
      </w:r>
      <w:r w:rsidRPr="009B78F9">
        <w:t xml:space="preserve"> ABD doları veya eşitinden yüksek olmakla birlikte 1</w:t>
      </w:r>
      <w:bookmarkStart w:id="1" w:name="_GoBack"/>
      <w:bookmarkEnd w:id="1"/>
      <w:r w:rsidRPr="009B78F9">
        <w:t xml:space="preserve">00.000 ABD doları veya eşitini aşmamak üzere, beyanname veya formda yer alan bedelin %10’una kadar noksanlığı olan (sigorta bedellerinden kaynaklanan noksanlıklar </w:t>
      </w:r>
      <w:r w:rsidR="00DB5088" w:rsidRPr="009B78F9">
        <w:t>dâhil</w:t>
      </w:r>
      <w:r w:rsidRPr="009B78F9">
        <w:t>) ihracat hesapları doğrudan bankalarca veya 90 günlük ihtarname süresi içinde ilgili Vergi Dairesi Başkanlıkları/Müdürlüklerince ödeme şekline bakılmaksızın,</w:t>
      </w:r>
    </w:p>
    <w:p w:rsidR="009B78F9" w:rsidRPr="009B78F9" w:rsidRDefault="009B78F9" w:rsidP="009B78F9">
      <w:pPr>
        <w:tabs>
          <w:tab w:val="left" w:pos="993"/>
          <w:tab w:val="left" w:pos="1253"/>
        </w:tabs>
        <w:spacing w:before="115"/>
      </w:pPr>
      <w:r>
        <w:t>-</w:t>
      </w:r>
      <w:r w:rsidRPr="009B78F9">
        <w:t>200.000 ABD doları veya eşitini aşmamak üzere, 2018-32/48 sayılı Tebliğ’in 9 uncu maddesinde belirtilen mücbir sebep ve haklı durum halleri göz önünde bulundurulmak suretiyle beyanname veya formda yer alan bedelin %10’una kadar açık hesaplar ilgili Vergi Dairesi Başkanlığınca veya Vergi Dairesi Müdürlüğünce,</w:t>
      </w:r>
    </w:p>
    <w:p w:rsidR="00DB5088" w:rsidRDefault="00DB5088" w:rsidP="009B78F9">
      <w:pPr>
        <w:pStyle w:val="GvdeMetni"/>
        <w:tabs>
          <w:tab w:val="left" w:pos="993"/>
        </w:tabs>
        <w:spacing w:before="117"/>
        <w:ind w:left="0" w:firstLine="0"/>
        <w:rPr>
          <w:rFonts w:asciiTheme="minorHAnsi" w:eastAsiaTheme="minorHAnsi" w:hAnsiTheme="minorHAnsi" w:cstheme="minorBidi"/>
          <w:sz w:val="22"/>
          <w:szCs w:val="22"/>
        </w:rPr>
      </w:pPr>
      <w:r w:rsidRPr="002F62F7">
        <w:rPr>
          <w:rFonts w:asciiTheme="minorHAnsi" w:eastAsiaTheme="minorHAnsi" w:hAnsiTheme="minorHAnsi" w:cstheme="minorBidi"/>
          <w:b/>
          <w:sz w:val="22"/>
          <w:szCs w:val="22"/>
        </w:rPr>
        <w:t>T</w:t>
      </w:r>
      <w:r w:rsidR="009B78F9" w:rsidRPr="002F62F7">
        <w:rPr>
          <w:rFonts w:asciiTheme="minorHAnsi" w:eastAsiaTheme="minorHAnsi" w:hAnsiTheme="minorHAnsi" w:cstheme="minorBidi"/>
          <w:b/>
          <w:sz w:val="22"/>
          <w:szCs w:val="22"/>
        </w:rPr>
        <w:t xml:space="preserve">erkin </w:t>
      </w:r>
      <w:r w:rsidR="009B78F9">
        <w:rPr>
          <w:rFonts w:asciiTheme="minorHAnsi" w:eastAsiaTheme="minorHAnsi" w:hAnsiTheme="minorHAnsi" w:cstheme="minorBidi"/>
          <w:sz w:val="22"/>
          <w:szCs w:val="22"/>
        </w:rPr>
        <w:t>edilmek suretiyle kapatılmaktadır.</w:t>
      </w:r>
    </w:p>
    <w:p w:rsidR="003600BE" w:rsidRDefault="003600BE" w:rsidP="009B78F9">
      <w:pPr>
        <w:pStyle w:val="GvdeMetni"/>
        <w:tabs>
          <w:tab w:val="left" w:pos="993"/>
        </w:tabs>
        <w:spacing w:before="117"/>
        <w:ind w:left="0" w:firstLine="0"/>
        <w:rPr>
          <w:rFonts w:asciiTheme="minorHAnsi" w:eastAsiaTheme="minorHAnsi" w:hAnsiTheme="minorHAnsi" w:cstheme="minorBidi"/>
          <w:sz w:val="22"/>
          <w:szCs w:val="22"/>
        </w:rPr>
      </w:pPr>
    </w:p>
    <w:p w:rsidR="00DB5088" w:rsidRPr="00311BCB" w:rsidRDefault="00DB5088" w:rsidP="00DB5088">
      <w:pPr>
        <w:pStyle w:val="NormalWeb"/>
        <w:shd w:val="clear" w:color="auto" w:fill="FFFFFF"/>
        <w:spacing w:before="0" w:beforeAutospacing="0" w:after="16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11B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İhracatçı firmaların yaptıkları ihracat işlemleri ile ilgili belgeler</w:t>
      </w:r>
      <w:r w:rsidR="003600BE" w:rsidRPr="00311B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 ve ihracat bedelinin</w:t>
      </w:r>
      <w:r w:rsidRPr="00311B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yurda getirildiğine dair belgeleri aracı bankalarına </w:t>
      </w:r>
      <w:r w:rsidR="003600BE" w:rsidRPr="00311B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zamanında </w:t>
      </w:r>
      <w:r w:rsidRPr="00311B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ibraz etmeleri yaptırıma uğramamaları açısından büyük önem arz etmektedir.</w:t>
      </w:r>
    </w:p>
    <w:p w:rsidR="00DB5088" w:rsidRPr="00311BCB" w:rsidRDefault="00DB5088" w:rsidP="009B78F9">
      <w:pPr>
        <w:pStyle w:val="GvdeMetni"/>
        <w:tabs>
          <w:tab w:val="left" w:pos="993"/>
        </w:tabs>
        <w:spacing w:before="117"/>
        <w:ind w:left="0" w:firstLine="0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EB5B7F" w:rsidRDefault="00EB5B7F"/>
    <w:sectPr w:rsidR="00EB5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D76EB"/>
    <w:multiLevelType w:val="hybridMultilevel"/>
    <w:tmpl w:val="BD90C0A6"/>
    <w:lvl w:ilvl="0" w:tplc="4A7E4B52">
      <w:start w:val="1"/>
      <w:numFmt w:val="lowerLetter"/>
      <w:lvlText w:val="%1)"/>
      <w:lvlJc w:val="left"/>
      <w:pPr>
        <w:ind w:left="260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29C324A">
      <w:numFmt w:val="bullet"/>
      <w:lvlText w:val="•"/>
      <w:lvlJc w:val="left"/>
      <w:pPr>
        <w:ind w:left="1174" w:hanging="271"/>
      </w:pPr>
      <w:rPr>
        <w:lang w:val="tr-TR" w:eastAsia="en-US" w:bidi="ar-SA"/>
      </w:rPr>
    </w:lvl>
    <w:lvl w:ilvl="2" w:tplc="C9AE8D4C">
      <w:numFmt w:val="bullet"/>
      <w:lvlText w:val="•"/>
      <w:lvlJc w:val="left"/>
      <w:pPr>
        <w:ind w:left="2089" w:hanging="271"/>
      </w:pPr>
      <w:rPr>
        <w:lang w:val="tr-TR" w:eastAsia="en-US" w:bidi="ar-SA"/>
      </w:rPr>
    </w:lvl>
    <w:lvl w:ilvl="3" w:tplc="1890ADEC">
      <w:numFmt w:val="bullet"/>
      <w:lvlText w:val="•"/>
      <w:lvlJc w:val="left"/>
      <w:pPr>
        <w:ind w:left="3003" w:hanging="271"/>
      </w:pPr>
      <w:rPr>
        <w:lang w:val="tr-TR" w:eastAsia="en-US" w:bidi="ar-SA"/>
      </w:rPr>
    </w:lvl>
    <w:lvl w:ilvl="4" w:tplc="EA4266C2">
      <w:numFmt w:val="bullet"/>
      <w:lvlText w:val="•"/>
      <w:lvlJc w:val="left"/>
      <w:pPr>
        <w:ind w:left="3918" w:hanging="271"/>
      </w:pPr>
      <w:rPr>
        <w:lang w:val="tr-TR" w:eastAsia="en-US" w:bidi="ar-SA"/>
      </w:rPr>
    </w:lvl>
    <w:lvl w:ilvl="5" w:tplc="8AAC509A">
      <w:numFmt w:val="bullet"/>
      <w:lvlText w:val="•"/>
      <w:lvlJc w:val="left"/>
      <w:pPr>
        <w:ind w:left="4833" w:hanging="271"/>
      </w:pPr>
      <w:rPr>
        <w:lang w:val="tr-TR" w:eastAsia="en-US" w:bidi="ar-SA"/>
      </w:rPr>
    </w:lvl>
    <w:lvl w:ilvl="6" w:tplc="AAAAC66A">
      <w:numFmt w:val="bullet"/>
      <w:lvlText w:val="•"/>
      <w:lvlJc w:val="left"/>
      <w:pPr>
        <w:ind w:left="5747" w:hanging="271"/>
      </w:pPr>
      <w:rPr>
        <w:lang w:val="tr-TR" w:eastAsia="en-US" w:bidi="ar-SA"/>
      </w:rPr>
    </w:lvl>
    <w:lvl w:ilvl="7" w:tplc="732A7646">
      <w:numFmt w:val="bullet"/>
      <w:lvlText w:val="•"/>
      <w:lvlJc w:val="left"/>
      <w:pPr>
        <w:ind w:left="6662" w:hanging="271"/>
      </w:pPr>
      <w:rPr>
        <w:lang w:val="tr-TR" w:eastAsia="en-US" w:bidi="ar-SA"/>
      </w:rPr>
    </w:lvl>
    <w:lvl w:ilvl="8" w:tplc="D4A8B7F0">
      <w:numFmt w:val="bullet"/>
      <w:lvlText w:val="•"/>
      <w:lvlJc w:val="left"/>
      <w:pPr>
        <w:ind w:left="7577" w:hanging="271"/>
      </w:pPr>
      <w:rPr>
        <w:lang w:val="tr-TR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2D"/>
    <w:rsid w:val="002C2384"/>
    <w:rsid w:val="002F62F7"/>
    <w:rsid w:val="00311BCB"/>
    <w:rsid w:val="003600BE"/>
    <w:rsid w:val="003F225B"/>
    <w:rsid w:val="00403292"/>
    <w:rsid w:val="00513B2D"/>
    <w:rsid w:val="007C557B"/>
    <w:rsid w:val="009B78F9"/>
    <w:rsid w:val="00DB5088"/>
    <w:rsid w:val="00EB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AABE87-961D-45A9-9332-3A53EBB6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EB5B7F"/>
    <w:pPr>
      <w:widowControl w:val="0"/>
      <w:autoSpaceDE w:val="0"/>
      <w:autoSpaceDN w:val="0"/>
      <w:spacing w:before="144" w:after="0" w:line="240" w:lineRule="auto"/>
      <w:ind w:left="260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EB5B7F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uiPriority w:val="99"/>
    <w:semiHidden/>
    <w:unhideWhenUsed/>
    <w:rsid w:val="00EB5B7F"/>
    <w:rPr>
      <w:color w:val="0000FF"/>
      <w:u w:val="single"/>
    </w:rPr>
  </w:style>
  <w:style w:type="paragraph" w:styleId="ListeParagraf">
    <w:name w:val="List Paragraph"/>
    <w:basedOn w:val="Normal"/>
    <w:uiPriority w:val="1"/>
    <w:qFormat/>
    <w:rsid w:val="009B78F9"/>
    <w:pPr>
      <w:widowControl w:val="0"/>
      <w:autoSpaceDE w:val="0"/>
      <w:autoSpaceDN w:val="0"/>
      <w:spacing w:before="118" w:after="0" w:line="240" w:lineRule="auto"/>
      <w:ind w:left="260" w:right="117" w:firstLine="708"/>
      <w:jc w:val="both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DB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YILMAZ2</cp:lastModifiedBy>
  <cp:revision>13</cp:revision>
  <dcterms:created xsi:type="dcterms:W3CDTF">2021-11-01T09:30:00Z</dcterms:created>
  <dcterms:modified xsi:type="dcterms:W3CDTF">2021-12-06T07:29:00Z</dcterms:modified>
</cp:coreProperties>
</file>