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697"/>
        <w:gridCol w:w="375"/>
      </w:tblGrid>
      <w:tr w:rsidR="00C642CF" w:rsidRPr="00C642CF">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697"/>
            </w:tblGrid>
            <w:tr w:rsidR="00C642CF" w:rsidRPr="00C642CF">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697"/>
                  </w:tblGrid>
                  <w:tr w:rsidR="00C642CF" w:rsidRPr="00C642CF">
                    <w:tc>
                      <w:tcPr>
                        <w:tcW w:w="5000" w:type="pct"/>
                        <w:tcBorders>
                          <w:top w:val="nil"/>
                          <w:left w:val="nil"/>
                          <w:bottom w:val="nil"/>
                          <w:right w:val="nil"/>
                        </w:tcBorders>
                        <w:vAlign w:val="center"/>
                        <w:hideMark/>
                      </w:tcPr>
                      <w:p w:rsidR="00C642CF" w:rsidRPr="00C642CF" w:rsidRDefault="00C642CF" w:rsidP="00C642CF">
                        <w:pPr>
                          <w:spacing w:before="100" w:beforeAutospacing="1" w:after="100" w:afterAutospacing="1"/>
                          <w:jc w:val="center"/>
                          <w:rPr>
                            <w:rFonts w:ascii="Arial" w:hAnsi="Arial"/>
                            <w:color w:val="000000"/>
                            <w:sz w:val="18"/>
                            <w:szCs w:val="18"/>
                          </w:rPr>
                        </w:pPr>
                        <w:bookmarkStart w:id="0" w:name="_GoBack"/>
                        <w:bookmarkEnd w:id="0"/>
                        <w:proofErr w:type="spellStart"/>
                        <w:r w:rsidRPr="00C642CF">
                          <w:rPr>
                            <w:rFonts w:ascii="Arial" w:hAnsi="Arial"/>
                            <w:b/>
                            <w:bCs/>
                            <w:color w:val="000000"/>
                            <w:sz w:val="18"/>
                            <w:szCs w:val="18"/>
                          </w:rPr>
                          <w:t>Utikad</w:t>
                        </w:r>
                        <w:proofErr w:type="spellEnd"/>
                      </w:p>
                      <w:p w:rsidR="00C642CF" w:rsidRPr="00C642CF" w:rsidRDefault="00C642CF" w:rsidP="00C642CF">
                        <w:pPr>
                          <w:spacing w:before="100" w:beforeAutospacing="1" w:after="100" w:afterAutospacing="1"/>
                          <w:jc w:val="center"/>
                          <w:rPr>
                            <w:rFonts w:ascii="Arial" w:hAnsi="Arial"/>
                            <w:color w:val="000000"/>
                            <w:sz w:val="18"/>
                            <w:szCs w:val="18"/>
                          </w:rPr>
                        </w:pPr>
                        <w:r w:rsidRPr="00C642CF">
                          <w:rPr>
                            <w:rFonts w:ascii="Arial" w:hAnsi="Arial"/>
                            <w:b/>
                            <w:bCs/>
                            <w:color w:val="000000"/>
                            <w:sz w:val="18"/>
                            <w:szCs w:val="18"/>
                          </w:rPr>
                          <w:t> </w:t>
                        </w:r>
                      </w:p>
                      <w:p w:rsidR="00C642CF" w:rsidRPr="00C642CF" w:rsidRDefault="00C642CF" w:rsidP="00C642CF">
                        <w:pPr>
                          <w:spacing w:before="100" w:beforeAutospacing="1" w:after="100" w:afterAutospacing="1"/>
                          <w:rPr>
                            <w:rFonts w:ascii="Arial" w:hAnsi="Arial"/>
                            <w:color w:val="000000"/>
                            <w:sz w:val="18"/>
                            <w:szCs w:val="18"/>
                          </w:rPr>
                        </w:pPr>
                        <w:proofErr w:type="gramStart"/>
                        <w:r w:rsidRPr="00C642CF">
                          <w:rPr>
                            <w:rFonts w:ascii="Arial" w:hAnsi="Arial"/>
                            <w:b/>
                            <w:bCs/>
                            <w:color w:val="000000"/>
                            <w:sz w:val="18"/>
                            <w:szCs w:val="18"/>
                          </w:rPr>
                          <w:t>Sayı     :</w:t>
                        </w:r>
                        <w:r w:rsidRPr="00C642CF">
                          <w:rPr>
                            <w:rFonts w:ascii="Arial" w:hAnsi="Arial"/>
                            <w:color w:val="000000"/>
                            <w:sz w:val="18"/>
                            <w:szCs w:val="18"/>
                          </w:rPr>
                          <w:t>2018</w:t>
                        </w:r>
                        <w:proofErr w:type="gramEnd"/>
                        <w:r w:rsidRPr="00C642CF">
                          <w:rPr>
                            <w:rFonts w:ascii="Arial" w:hAnsi="Arial"/>
                            <w:color w:val="000000"/>
                            <w:sz w:val="18"/>
                            <w:szCs w:val="18"/>
                          </w:rPr>
                          <w:t>/385                                                                                          İstanbul, 04.07.2018</w:t>
                        </w:r>
                      </w:p>
                      <w:p w:rsidR="00C642CF" w:rsidRPr="00C642CF" w:rsidRDefault="00C642CF" w:rsidP="00C642CF">
                        <w:pPr>
                          <w:spacing w:before="100" w:beforeAutospacing="1" w:after="100" w:afterAutospacing="1"/>
                          <w:rPr>
                            <w:rFonts w:ascii="Arial" w:hAnsi="Arial"/>
                            <w:color w:val="000000"/>
                            <w:sz w:val="18"/>
                            <w:szCs w:val="18"/>
                          </w:rPr>
                        </w:pPr>
                        <w:proofErr w:type="gramStart"/>
                        <w:r w:rsidRPr="00C642CF">
                          <w:rPr>
                            <w:rFonts w:ascii="Arial" w:hAnsi="Arial"/>
                            <w:b/>
                            <w:bCs/>
                            <w:color w:val="000000"/>
                            <w:sz w:val="18"/>
                            <w:szCs w:val="18"/>
                          </w:rPr>
                          <w:t>Konu   :</w:t>
                        </w:r>
                        <w:r w:rsidRPr="00C642CF">
                          <w:rPr>
                            <w:rFonts w:ascii="Arial" w:hAnsi="Arial"/>
                            <w:color w:val="000000"/>
                            <w:sz w:val="18"/>
                            <w:szCs w:val="18"/>
                          </w:rPr>
                          <w:t>Çin’e</w:t>
                        </w:r>
                        <w:proofErr w:type="gramEnd"/>
                        <w:r w:rsidRPr="00C642CF">
                          <w:rPr>
                            <w:rFonts w:ascii="Arial" w:hAnsi="Arial"/>
                            <w:color w:val="000000"/>
                            <w:sz w:val="18"/>
                            <w:szCs w:val="18"/>
                          </w:rPr>
                          <w:t xml:space="preserve"> Gönderilecek İhracat Yüklemelerde</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Çin Gümrüğü’nün Yeni Uygulamaları</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b/>
                            <w:bCs/>
                            <w:color w:val="000000"/>
                            <w:sz w:val="18"/>
                            <w:szCs w:val="18"/>
                          </w:rPr>
                          <w:t> </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b/>
                            <w:bCs/>
                            <w:color w:val="000000"/>
                            <w:sz w:val="18"/>
                            <w:szCs w:val="18"/>
                          </w:rPr>
                          <w:t>TÜRKİYE İHRACATÇILAR MECLİSİ</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b/>
                            <w:bCs/>
                            <w:color w:val="000000"/>
                            <w:sz w:val="18"/>
                            <w:szCs w:val="18"/>
                          </w:rPr>
                          <w:t>İSTANBUL</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 </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1 Haziran 2018 tarihi itibarıyla Çin Halk Cumhuriyeti Gümrük İdaresi tarafından, Çin’e gönderilen tüm yüklemelerde, ülkelere göre belirlenmiş bazı yeni bilgilerin konşimentoya yazılması zorunluluğu getirilmiştir.</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 xml:space="preserve">Çin Gümrüğü’nün hassas olarak takip ettiği konu </w:t>
                        </w:r>
                        <w:proofErr w:type="gramStart"/>
                        <w:r w:rsidRPr="00C642CF">
                          <w:rPr>
                            <w:rFonts w:ascii="Arial" w:hAnsi="Arial"/>
                            <w:color w:val="000000"/>
                            <w:sz w:val="18"/>
                            <w:szCs w:val="18"/>
                          </w:rPr>
                          <w:t>dahilinde</w:t>
                        </w:r>
                        <w:proofErr w:type="gramEnd"/>
                        <w:r w:rsidRPr="00C642CF">
                          <w:rPr>
                            <w:rFonts w:ascii="Arial" w:hAnsi="Arial"/>
                            <w:color w:val="000000"/>
                            <w:sz w:val="18"/>
                            <w:szCs w:val="18"/>
                          </w:rPr>
                          <w:t>, Türkiye’den Çin’e deniz veya havayoluyla yapılacak ihracat gönderilerinde, gönderici ve alıcı firmaların MERSİS Numarası ve Ticaret Sicil Numaralarının konşimentolara yazılma zorunluluğu bulunmaktadır. Bilgilerin konşimentolarda eksik olması veya hiç olmaması durumunda, yüklerin Çin deniz ve havalimanlarından çekilmesine izin verilmeyeceği, ek kontrollere tabi tutulabileceği ve gümrük cezası uygulanacağı Çin Gümrüğü tarafından bildirilmiştir.</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İhracatçılarımızın gönderilerinin Çin’de teslim sıkıntısı yaşamaması amacıyla, bahse konu bilgilerin ihracatçılarımız ve/veya göndericilerimiz tarafından, birlikte çalıştıkları ve üyelerimiz olan taşımacılık ve lojistik şirketlerine eksiksiz ve zamanında iletilmesi yüklemelerin sıkıntı yaşanmadan teslimini sağlayacaktır. Bu çerçevede Çin’e ihracat gönderisi yapacak dış ticaret firmalarımızın konuya gerekli hassasiyeti göstermesi ve gerekli bilgileri çalıştıkları taşımacılık ve lojistik firmalarına zamanında iletmeleri yönünde üyelerinize gerekli bilgilendirilmenin yapılması hususunda desteklerinizi arz ederiz.</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 </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color w:val="000000"/>
                            <w:sz w:val="18"/>
                            <w:szCs w:val="18"/>
                          </w:rPr>
                          <w:t>Saygılarımızla,</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b/>
                            <w:bCs/>
                            <w:color w:val="000000"/>
                            <w:sz w:val="18"/>
                            <w:szCs w:val="18"/>
                          </w:rPr>
                          <w:t> </w:t>
                        </w:r>
                      </w:p>
                      <w:p w:rsidR="00C642CF" w:rsidRPr="00C642CF" w:rsidRDefault="00C642CF" w:rsidP="00C642CF">
                        <w:pPr>
                          <w:spacing w:before="100" w:beforeAutospacing="1" w:after="100" w:afterAutospacing="1"/>
                          <w:rPr>
                            <w:rFonts w:ascii="Arial" w:hAnsi="Arial"/>
                            <w:color w:val="000000"/>
                            <w:sz w:val="18"/>
                            <w:szCs w:val="18"/>
                          </w:rPr>
                        </w:pPr>
                        <w:r w:rsidRPr="00C642CF">
                          <w:rPr>
                            <w:rFonts w:ascii="Arial" w:hAnsi="Arial"/>
                            <w:b/>
                            <w:bCs/>
                            <w:color w:val="000000"/>
                            <w:sz w:val="18"/>
                            <w:szCs w:val="18"/>
                          </w:rPr>
                          <w:t xml:space="preserve">Cavit UĞUR </w:t>
                        </w:r>
                      </w:p>
                      <w:p w:rsidR="00C642CF" w:rsidRPr="00C642CF" w:rsidRDefault="00C642CF" w:rsidP="00C642CF">
                        <w:pPr>
                          <w:spacing w:before="100" w:beforeAutospacing="1" w:after="100" w:afterAutospacing="1"/>
                          <w:rPr>
                            <w:rFonts w:ascii="Arial" w:hAnsi="Arial"/>
                            <w:color w:val="000000"/>
                            <w:sz w:val="18"/>
                            <w:szCs w:val="18"/>
                          </w:rPr>
                        </w:pPr>
                        <w:r w:rsidRPr="00C642CF">
                          <w:rPr>
                            <w:rFonts w:cs="Times New Roman"/>
                            <w:b/>
                            <w:bCs/>
                            <w:color w:val="000000"/>
                            <w:sz w:val="18"/>
                            <w:szCs w:val="18"/>
                          </w:rPr>
                          <w:t>Genel Müdür</w:t>
                        </w:r>
                      </w:p>
                    </w:tc>
                  </w:tr>
                </w:tbl>
                <w:p w:rsidR="00C642CF" w:rsidRPr="00C642CF" w:rsidRDefault="00C642CF" w:rsidP="00C642CF">
                  <w:pPr>
                    <w:rPr>
                      <w:rFonts w:cs="Times New Roman"/>
                    </w:rPr>
                  </w:pPr>
                </w:p>
              </w:tc>
            </w:tr>
          </w:tbl>
          <w:p w:rsidR="00C642CF" w:rsidRPr="00C642CF" w:rsidRDefault="00C642CF" w:rsidP="00C642CF">
            <w:pPr>
              <w:jc w:val="center"/>
              <w:rPr>
                <w:rFonts w:cs="Times New Roman"/>
              </w:rPr>
            </w:pPr>
            <w:r w:rsidRPr="00C642CF">
              <w:rPr>
                <w:rFonts w:cs="Times New Roman"/>
              </w:rPr>
              <w:br/>
            </w:r>
            <w:hyperlink r:id="rId4" w:history="1">
              <w:r w:rsidRPr="00C642CF">
                <w:rPr>
                  <w:rFonts w:ascii="Arial" w:hAnsi="Arial"/>
                  <w:color w:val="184A8D"/>
                  <w:sz w:val="20"/>
                  <w:szCs w:val="20"/>
                </w:rPr>
                <w:t>Sıra No 1607</w:t>
              </w:r>
            </w:hyperlink>
            <w:r w:rsidRPr="00C642CF">
              <w:rPr>
                <w:rFonts w:ascii="Arial" w:hAnsi="Arial"/>
                <w:sz w:val="20"/>
                <w:szCs w:val="20"/>
              </w:rPr>
              <w:t>   </w:t>
            </w:r>
            <w:hyperlink r:id="rId5" w:history="1">
              <w:r w:rsidRPr="00C642CF">
                <w:rPr>
                  <w:rFonts w:ascii="Arial" w:hAnsi="Arial"/>
                  <w:color w:val="184A8D"/>
                  <w:sz w:val="20"/>
                  <w:szCs w:val="20"/>
                </w:rPr>
                <w:t>Sıra No 1608</w:t>
              </w:r>
            </w:hyperlink>
            <w:r w:rsidRPr="00C642CF">
              <w:rPr>
                <w:rFonts w:ascii="Arial" w:hAnsi="Arial"/>
                <w:sz w:val="20"/>
                <w:szCs w:val="20"/>
              </w:rPr>
              <w:t>   Sıra No 1609</w:t>
            </w:r>
            <w:r w:rsidRPr="00C642CF">
              <w:rPr>
                <w:rFonts w:ascii="Arial" w:hAnsi="Arial"/>
                <w:sz w:val="20"/>
                <w:szCs w:val="20"/>
              </w:rPr>
              <w:br/>
            </w:r>
            <w:r w:rsidRPr="00C642CF">
              <w:rPr>
                <w:rFonts w:ascii="Arial" w:hAnsi="Arial"/>
                <w:sz w:val="20"/>
                <w:szCs w:val="20"/>
              </w:rPr>
              <w:br/>
            </w:r>
            <w:hyperlink r:id="rId6" w:history="1">
              <w:r w:rsidRPr="00C642CF">
                <w:rPr>
                  <w:rFonts w:ascii="Arial" w:hAnsi="Arial"/>
                  <w:b/>
                  <w:bCs/>
                  <w:color w:val="184A8D"/>
                  <w:sz w:val="20"/>
                  <w:szCs w:val="20"/>
                </w:rPr>
                <w:t>Arşiv</w:t>
              </w:r>
            </w:hyperlink>
            <w:r w:rsidRPr="00C642CF">
              <w:rPr>
                <w:rFonts w:ascii="Arial" w:hAnsi="Arial"/>
                <w:b/>
                <w:bCs/>
                <w:sz w:val="20"/>
                <w:szCs w:val="20"/>
              </w:rPr>
              <w:t xml:space="preserve"> </w:t>
            </w:r>
            <w:r w:rsidRPr="00C642CF">
              <w:rPr>
                <w:rFonts w:ascii="Arial" w:hAnsi="Arial"/>
                <w:sz w:val="20"/>
                <w:szCs w:val="20"/>
              </w:rPr>
              <w:t xml:space="preserve"> |  </w:t>
            </w:r>
            <w:hyperlink r:id="rId7" w:history="1">
              <w:r w:rsidRPr="00C642CF">
                <w:rPr>
                  <w:rFonts w:ascii="Arial" w:hAnsi="Arial"/>
                  <w:b/>
                  <w:bCs/>
                  <w:color w:val="184A8D"/>
                  <w:sz w:val="20"/>
                  <w:szCs w:val="20"/>
                </w:rPr>
                <w:t>Duyurular</w:t>
              </w:r>
            </w:hyperlink>
            <w:r w:rsidRPr="00C642CF">
              <w:rPr>
                <w:rFonts w:ascii="Arial" w:hAnsi="Arial"/>
                <w:b/>
                <w:bCs/>
                <w:sz w:val="20"/>
                <w:szCs w:val="20"/>
              </w:rPr>
              <w:t xml:space="preserve"> </w:t>
            </w:r>
            <w:r w:rsidRPr="00C642CF">
              <w:rPr>
                <w:rFonts w:ascii="Arial" w:hAnsi="Arial"/>
                <w:sz w:val="20"/>
                <w:szCs w:val="20"/>
              </w:rPr>
              <w:t> | </w:t>
            </w:r>
            <w:r w:rsidRPr="00C642CF">
              <w:rPr>
                <w:rFonts w:ascii="Arial" w:hAnsi="Arial"/>
                <w:b/>
                <w:bCs/>
                <w:sz w:val="20"/>
                <w:szCs w:val="20"/>
              </w:rPr>
              <w:t xml:space="preserve"> </w:t>
            </w:r>
            <w:hyperlink r:id="rId8" w:history="1">
              <w:r w:rsidRPr="00C642CF">
                <w:rPr>
                  <w:rFonts w:ascii="Arial" w:hAnsi="Arial"/>
                  <w:b/>
                  <w:bCs/>
                  <w:color w:val="184A8D"/>
                  <w:sz w:val="20"/>
                  <w:szCs w:val="20"/>
                </w:rPr>
                <w:t>Ana Sayfa</w:t>
              </w:r>
            </w:hyperlink>
          </w:p>
        </w:tc>
        <w:tc>
          <w:tcPr>
            <w:tcW w:w="375" w:type="dxa"/>
            <w:tcBorders>
              <w:top w:val="nil"/>
              <w:left w:val="nil"/>
              <w:bottom w:val="nil"/>
              <w:right w:val="nil"/>
            </w:tcBorders>
            <w:vAlign w:val="center"/>
            <w:hideMark/>
          </w:tcPr>
          <w:p w:rsidR="00C642CF" w:rsidRPr="00C642CF" w:rsidRDefault="00C642CF" w:rsidP="00C642CF">
            <w:pPr>
              <w:rPr>
                <w:rFonts w:cs="Times New Roman"/>
              </w:rPr>
            </w:pPr>
            <w:r w:rsidRPr="00C642CF">
              <w:rPr>
                <w:rFonts w:cs="Times New Roman"/>
              </w:rPr>
              <w:t> </w:t>
            </w:r>
          </w:p>
        </w:tc>
      </w:tr>
    </w:tbl>
    <w:p w:rsidR="00F961DB" w:rsidRDefault="00F961DB"/>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38"/>
    <w:rsid w:val="001F7462"/>
    <w:rsid w:val="00211B55"/>
    <w:rsid w:val="002A566B"/>
    <w:rsid w:val="00571C38"/>
    <w:rsid w:val="00AB200D"/>
    <w:rsid w:val="00C642CF"/>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D93F4-513A-4B50-9D8F-9BFFDB1A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lannet.com/index.php" TargetMode="External"/><Relationship Id="rId3" Type="http://schemas.openxmlformats.org/officeDocument/2006/relationships/webSettings" Target="webSettings.xml"/><Relationship Id="rId7" Type="http://schemas.openxmlformats.org/officeDocument/2006/relationships/hyperlink" Target="http://www.arslannet.com/index.php?id=duyuru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lannet.com/index.php?id=arsiv" TargetMode="External"/><Relationship Id="rId5" Type="http://schemas.openxmlformats.org/officeDocument/2006/relationships/hyperlink" Target="http://www.arslannet.com/index.php?id=duyuru_ac&amp;pid=1608" TargetMode="External"/><Relationship Id="rId10" Type="http://schemas.openxmlformats.org/officeDocument/2006/relationships/theme" Target="theme/theme1.xml"/><Relationship Id="rId4" Type="http://schemas.openxmlformats.org/officeDocument/2006/relationships/hyperlink" Target="http://www.arslannet.com/index.php?id=duyuru_ac&amp;pid=1607"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2018-07-10T05:43:00Z</dcterms:created>
  <dcterms:modified xsi:type="dcterms:W3CDTF">2018-07-10T05:43:00Z</dcterms:modified>
</cp:coreProperties>
</file>