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072"/>
      </w:tblGrid>
      <w:tr w:rsidR="00747DB1" w:rsidRPr="00747DB1">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9072"/>
            </w:tblGrid>
            <w:tr w:rsidR="00747DB1" w:rsidRPr="00747DB1">
              <w:tc>
                <w:tcPr>
                  <w:tcW w:w="5000" w:type="pct"/>
                  <w:tcBorders>
                    <w:top w:val="nil"/>
                    <w:left w:val="nil"/>
                    <w:bottom w:val="nil"/>
                    <w:right w:val="nil"/>
                  </w:tcBorders>
                  <w:vAlign w:val="center"/>
                  <w:hideMark/>
                </w:tcPr>
                <w:p w:rsidR="00747DB1" w:rsidRPr="00747DB1" w:rsidRDefault="00747DB1" w:rsidP="00747DB1">
                  <w:pPr>
                    <w:spacing w:before="100" w:beforeAutospacing="1" w:after="100" w:afterAutospacing="1"/>
                    <w:jc w:val="center"/>
                    <w:rPr>
                      <w:rFonts w:ascii="Arial" w:hAnsi="Arial"/>
                      <w:color w:val="000000"/>
                      <w:sz w:val="18"/>
                      <w:szCs w:val="18"/>
                    </w:rPr>
                  </w:pPr>
                  <w:bookmarkStart w:id="0" w:name="_GoBack"/>
                  <w:bookmarkEnd w:id="0"/>
                  <w:r w:rsidRPr="00747DB1">
                    <w:rPr>
                      <w:rFonts w:ascii="Arial" w:hAnsi="Arial"/>
                      <w:b/>
                      <w:bCs/>
                      <w:color w:val="000000"/>
                      <w:sz w:val="18"/>
                      <w:szCs w:val="18"/>
                    </w:rPr>
                    <w:t>T.C.</w:t>
                  </w:r>
                </w:p>
                <w:p w:rsidR="00747DB1" w:rsidRPr="00747DB1" w:rsidRDefault="00747DB1" w:rsidP="00747DB1">
                  <w:pPr>
                    <w:spacing w:before="100" w:beforeAutospacing="1" w:after="100" w:afterAutospacing="1"/>
                    <w:jc w:val="center"/>
                    <w:rPr>
                      <w:rFonts w:ascii="Arial" w:hAnsi="Arial"/>
                      <w:color w:val="000000"/>
                      <w:sz w:val="18"/>
                      <w:szCs w:val="18"/>
                    </w:rPr>
                  </w:pPr>
                  <w:r w:rsidRPr="00747DB1">
                    <w:rPr>
                      <w:rFonts w:ascii="Arial" w:hAnsi="Arial"/>
                      <w:b/>
                      <w:bCs/>
                      <w:color w:val="000000"/>
                      <w:sz w:val="18"/>
                      <w:szCs w:val="18"/>
                    </w:rPr>
                    <w:t>GÜMRÜK VE TİCARET BAKANLIĞI</w:t>
                  </w:r>
                </w:p>
                <w:p w:rsidR="00747DB1" w:rsidRPr="00747DB1" w:rsidRDefault="00747DB1" w:rsidP="00747DB1">
                  <w:pPr>
                    <w:spacing w:before="100" w:beforeAutospacing="1" w:after="100" w:afterAutospacing="1"/>
                    <w:jc w:val="center"/>
                    <w:rPr>
                      <w:rFonts w:ascii="Arial" w:hAnsi="Arial"/>
                      <w:color w:val="000000"/>
                      <w:sz w:val="18"/>
                      <w:szCs w:val="18"/>
                    </w:rPr>
                  </w:pPr>
                  <w:r w:rsidRPr="00747DB1">
                    <w:rPr>
                      <w:rFonts w:ascii="Arial" w:hAnsi="Arial"/>
                      <w:b/>
                      <w:bCs/>
                      <w:color w:val="000000"/>
                      <w:sz w:val="18"/>
                      <w:szCs w:val="18"/>
                    </w:rPr>
                    <w:t>Gümrükler Genel Müdürlüğü</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b/>
                      <w:bCs/>
                      <w:color w:val="000000"/>
                      <w:sz w:val="18"/>
                      <w:szCs w:val="18"/>
                    </w:rPr>
                    <w:t>Sayı     :</w:t>
                  </w:r>
                  <w:r w:rsidRPr="00747DB1">
                    <w:rPr>
                      <w:rFonts w:ascii="Arial" w:hAnsi="Arial"/>
                      <w:color w:val="000000"/>
                      <w:sz w:val="18"/>
                      <w:szCs w:val="18"/>
                    </w:rPr>
                    <w:t>20117910-112.99</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b/>
                      <w:bCs/>
                      <w:color w:val="000000"/>
                      <w:sz w:val="18"/>
                      <w:szCs w:val="18"/>
                    </w:rPr>
                    <w:t>Konu   :</w:t>
                  </w:r>
                  <w:r w:rsidRPr="00747DB1">
                    <w:rPr>
                      <w:rFonts w:ascii="Arial" w:hAnsi="Arial"/>
                      <w:color w:val="000000"/>
                      <w:sz w:val="18"/>
                      <w:szCs w:val="18"/>
                    </w:rPr>
                    <w:t>İthalatta Gözetim Uygulamasına</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 İlişkin Tebliğ (Tebliğ No:2010/1)</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b/>
                      <w:bCs/>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b/>
                      <w:bCs/>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b/>
                      <w:bCs/>
                      <w:color w:val="000000"/>
                      <w:sz w:val="18"/>
                      <w:szCs w:val="18"/>
                    </w:rPr>
                    <w:t> </w:t>
                  </w:r>
                </w:p>
                <w:p w:rsidR="00747DB1" w:rsidRPr="00747DB1" w:rsidRDefault="00747DB1" w:rsidP="00747DB1">
                  <w:pPr>
                    <w:spacing w:before="100" w:beforeAutospacing="1" w:after="100" w:afterAutospacing="1"/>
                    <w:jc w:val="center"/>
                    <w:rPr>
                      <w:rFonts w:ascii="Arial" w:hAnsi="Arial"/>
                      <w:color w:val="000000"/>
                      <w:sz w:val="18"/>
                      <w:szCs w:val="18"/>
                    </w:rPr>
                  </w:pPr>
                  <w:r w:rsidRPr="00747DB1">
                    <w:rPr>
                      <w:rFonts w:ascii="Arial" w:hAnsi="Arial"/>
                      <w:b/>
                      <w:bCs/>
                      <w:color w:val="000000"/>
                      <w:sz w:val="18"/>
                      <w:szCs w:val="18"/>
                    </w:rPr>
                    <w:t>23.11.2017 / 29802149</w:t>
                  </w:r>
                </w:p>
                <w:p w:rsidR="00747DB1" w:rsidRPr="00747DB1" w:rsidRDefault="00747DB1" w:rsidP="00747DB1">
                  <w:pPr>
                    <w:spacing w:before="100" w:beforeAutospacing="1" w:after="100" w:afterAutospacing="1"/>
                    <w:jc w:val="center"/>
                    <w:rPr>
                      <w:rFonts w:ascii="Arial" w:hAnsi="Arial"/>
                      <w:color w:val="000000"/>
                      <w:sz w:val="18"/>
                      <w:szCs w:val="18"/>
                    </w:rPr>
                  </w:pPr>
                  <w:r w:rsidRPr="00747DB1">
                    <w:rPr>
                      <w:rFonts w:ascii="Arial" w:hAnsi="Arial"/>
                      <w:b/>
                      <w:bCs/>
                      <w:color w:val="000000"/>
                      <w:sz w:val="18"/>
                      <w:szCs w:val="18"/>
                    </w:rPr>
                    <w:t>DAĞITIM YERLERİNE</w:t>
                  </w:r>
                </w:p>
                <w:p w:rsidR="00747DB1" w:rsidRPr="00747DB1" w:rsidRDefault="00747DB1" w:rsidP="00747DB1">
                  <w:pPr>
                    <w:spacing w:before="100" w:beforeAutospacing="1" w:after="100" w:afterAutospacing="1"/>
                    <w:jc w:val="center"/>
                    <w:rPr>
                      <w:rFonts w:ascii="Arial" w:hAnsi="Arial"/>
                      <w:color w:val="000000"/>
                      <w:sz w:val="18"/>
                      <w:szCs w:val="18"/>
                    </w:rPr>
                  </w:pPr>
                  <w:r w:rsidRPr="00747DB1">
                    <w:rPr>
                      <w:rFonts w:ascii="Arial" w:hAnsi="Arial"/>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Bilindiği üzere, 31.12.2009 ve 27449 (2. Mükerrer) sayılı Resmi Gazete'de yayımlanan İthalatta Gözetim Uygulanmasına İlişkin Tebliğ (Tebliğ No: 2010/1) çerçevesinde, Tebliğ Ek-1'de fasıl numarası ile gümrük tarife pozisyonu belirtilen tekstil ve konfeksiyon ürünleri, ithalinde, kayda alınmak suretiyle ileriye yönelik olarak gözetime tabi tutulmakta olup kayda alınacak ürünlerin serbest dolaşıma girişinde gümrük beyannamelerinin tescilinde menşe ayrımı yapılmaksızın “Kayıt Belgesi” veya elektronik ortamdaki kaydın ithalatçı tarafından ilgili gümrük idaresine sunulması gerekmektedir.</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4458 sayılı Gümrük Kanununun 168. maddesine göre, serbest dolaşımda bulunan eşya, Türkiye Gümrük Bölgesinden veya Türkiye’nin anlaşmalarla dâhil olduğu gümrük birliği gümrük bölgelerinin diğer bir noktasından ihraç edildikten sonra üç yıl içinde yeniden serbest dolaşıma girmesi halinde ve beyan sahibinin talebi üzerine, ithalat vergilerinden muaf tutulmaktadır.</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Buradan hareketle, Gümrük Kanununun 168. maddesine konu geri gelen eşyanın ihracından önce serbest dolaşımda olduğu dikkate alındığında, 2010/1 sayılı Tebliğ kapsamı 4010 "ihraç edilen eşyanın muafiyete tabi olmadan serbest dolaşıma girişi ile eş zamanlı yurtiçi kullanımı" tanımlı rejim kodunda beyan edilen geri gelen tekstil ve konfeksiyon ürünlerinin serbest dolaşıma girişinde, “Kayıt Belgesi” veya elektronik ortamdaki kaydın gümrük idarelerine ibraz edilmesine gerek bulunmamaktadır.</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Bilgi ve gereğini rica ederim.</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lastRenderedPageBreak/>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Mustafa GÜMÜŞ</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Bakan a.</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Genel Müdür V.</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 </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b/>
                      <w:bCs/>
                      <w:color w:val="000000"/>
                      <w:sz w:val="18"/>
                      <w:szCs w:val="18"/>
                    </w:rPr>
                    <w:t>Dağıtım:</w:t>
                  </w:r>
                </w:p>
                <w:p w:rsidR="00747DB1" w:rsidRPr="00747DB1" w:rsidRDefault="00747DB1" w:rsidP="00747DB1">
                  <w:pPr>
                    <w:spacing w:before="100" w:beforeAutospacing="1" w:after="100" w:afterAutospacing="1"/>
                    <w:rPr>
                      <w:rFonts w:ascii="Arial" w:hAnsi="Arial"/>
                      <w:color w:val="000000"/>
                      <w:sz w:val="18"/>
                      <w:szCs w:val="18"/>
                    </w:rPr>
                  </w:pPr>
                  <w:r w:rsidRPr="00747DB1">
                    <w:rPr>
                      <w:rFonts w:ascii="Arial" w:hAnsi="Arial"/>
                      <w:color w:val="000000"/>
                      <w:sz w:val="18"/>
                      <w:szCs w:val="18"/>
                    </w:rPr>
                    <w:t>Tüm Gümrük ve Ticaret Bölge Müdürlüklerine</w:t>
                  </w:r>
                </w:p>
              </w:tc>
            </w:tr>
          </w:tbl>
          <w:p w:rsidR="00747DB1" w:rsidRPr="00747DB1" w:rsidRDefault="00747DB1" w:rsidP="00747DB1">
            <w:pPr>
              <w:rPr>
                <w:rFonts w:cs="Times New Roman"/>
              </w:rPr>
            </w:pPr>
          </w:p>
        </w:tc>
      </w:tr>
    </w:tbl>
    <w:p w:rsidR="00F961DB" w:rsidRDefault="00F961DB"/>
    <w:sectPr w:rsidR="00F96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FFD"/>
    <w:rsid w:val="00094FFD"/>
    <w:rsid w:val="001F7462"/>
    <w:rsid w:val="00211B55"/>
    <w:rsid w:val="002A566B"/>
    <w:rsid w:val="00747DB1"/>
    <w:rsid w:val="00A57B0E"/>
    <w:rsid w:val="00E12406"/>
    <w:rsid w:val="00F961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B8DBCF-E2A1-433B-A79E-B8A524357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B55"/>
    <w:rPr>
      <w:rFonts w:cs="Arial"/>
      <w:sz w:val="24"/>
      <w:szCs w:val="24"/>
      <w:lang w:eastAsia="tr-TR"/>
    </w:rPr>
  </w:style>
  <w:style w:type="paragraph" w:styleId="Balk1">
    <w:name w:val="heading 1"/>
    <w:basedOn w:val="Normal"/>
    <w:next w:val="Normal"/>
    <w:link w:val="Balk1Char1"/>
    <w:qFormat/>
    <w:rsid w:val="00211B55"/>
    <w:pPr>
      <w:keepNext/>
      <w:widowControl w:val="0"/>
      <w:jc w:val="both"/>
      <w:outlineLvl w:val="0"/>
    </w:pPr>
    <w:rPr>
      <w:rFonts w:cs="Times New Roman"/>
      <w:b/>
      <w:bCs/>
      <w:kern w:val="32"/>
      <w:sz w:val="32"/>
      <w:szCs w:val="32"/>
    </w:rPr>
  </w:style>
  <w:style w:type="paragraph" w:styleId="Balk2">
    <w:name w:val="heading 2"/>
    <w:basedOn w:val="Normal"/>
    <w:next w:val="Normal"/>
    <w:link w:val="Balk2Char"/>
    <w:qFormat/>
    <w:rsid w:val="00211B55"/>
    <w:pPr>
      <w:keepNext/>
      <w:widowControl w:val="0"/>
      <w:jc w:val="center"/>
      <w:outlineLvl w:val="1"/>
    </w:pPr>
    <w:rPr>
      <w:rFonts w:cs="Times New Roman"/>
      <w:b/>
      <w:bCs/>
      <w:i/>
      <w:iCs/>
      <w:sz w:val="28"/>
      <w:szCs w:val="28"/>
    </w:rPr>
  </w:style>
  <w:style w:type="paragraph" w:styleId="Balk3">
    <w:name w:val="heading 3"/>
    <w:basedOn w:val="Normal"/>
    <w:next w:val="Normal"/>
    <w:link w:val="Balk3Char"/>
    <w:qFormat/>
    <w:rsid w:val="00211B55"/>
    <w:pPr>
      <w:keepNext/>
      <w:tabs>
        <w:tab w:val="left" w:pos="567"/>
      </w:tabs>
      <w:ind w:firstLine="284"/>
      <w:jc w:val="center"/>
      <w:outlineLvl w:val="2"/>
    </w:pPr>
    <w:rPr>
      <w:rFonts w:cs="Times New Roman"/>
      <w:b/>
      <w:bCs/>
      <w:sz w:val="26"/>
      <w:szCs w:val="26"/>
    </w:rPr>
  </w:style>
  <w:style w:type="paragraph" w:styleId="Balk4">
    <w:name w:val="heading 4"/>
    <w:basedOn w:val="Normal"/>
    <w:next w:val="Normal"/>
    <w:link w:val="Balk4Char"/>
    <w:qFormat/>
    <w:rsid w:val="00211B55"/>
    <w:pPr>
      <w:keepNext/>
      <w:widowControl w:val="0"/>
      <w:jc w:val="center"/>
      <w:outlineLvl w:val="3"/>
    </w:pPr>
    <w:rPr>
      <w:rFonts w:cs="Times New Roman"/>
      <w:b/>
      <w:bCs/>
      <w:sz w:val="28"/>
      <w:szCs w:val="28"/>
    </w:rPr>
  </w:style>
  <w:style w:type="paragraph" w:styleId="Balk5">
    <w:name w:val="heading 5"/>
    <w:basedOn w:val="Normal"/>
    <w:next w:val="Normal"/>
    <w:link w:val="Balk5Char"/>
    <w:qFormat/>
    <w:rsid w:val="00211B55"/>
    <w:pPr>
      <w:keepNext/>
      <w:tabs>
        <w:tab w:val="left" w:pos="567"/>
      </w:tabs>
      <w:ind w:firstLine="284"/>
      <w:jc w:val="center"/>
      <w:outlineLvl w:val="4"/>
    </w:pPr>
    <w:rPr>
      <w:rFonts w:cs="Times New Roman"/>
      <w:b/>
      <w:bCs/>
      <w:i/>
      <w:iCs/>
      <w:sz w:val="26"/>
      <w:szCs w:val="26"/>
    </w:rPr>
  </w:style>
  <w:style w:type="paragraph" w:styleId="Balk6">
    <w:name w:val="heading 6"/>
    <w:basedOn w:val="Normal"/>
    <w:next w:val="Normal"/>
    <w:link w:val="Balk6Char"/>
    <w:qFormat/>
    <w:rsid w:val="00211B55"/>
    <w:pPr>
      <w:keepNext/>
      <w:ind w:firstLine="284"/>
      <w:jc w:val="center"/>
      <w:outlineLvl w:val="5"/>
    </w:pPr>
    <w:rPr>
      <w:rFonts w:cs="Times New Roman"/>
      <w:b/>
      <w:bCs/>
      <w:sz w:val="22"/>
      <w:szCs w:val="22"/>
    </w:rPr>
  </w:style>
  <w:style w:type="paragraph" w:styleId="Balk7">
    <w:name w:val="heading 7"/>
    <w:basedOn w:val="Normal"/>
    <w:next w:val="Normal"/>
    <w:link w:val="Balk7Char"/>
    <w:qFormat/>
    <w:rsid w:val="00211B55"/>
    <w:pPr>
      <w:keepNext/>
      <w:tabs>
        <w:tab w:val="left" w:pos="4536"/>
      </w:tabs>
      <w:outlineLvl w:val="6"/>
    </w:pPr>
    <w:rPr>
      <w:rFonts w:cs="Times New Roman"/>
    </w:rPr>
  </w:style>
  <w:style w:type="paragraph" w:styleId="Balk8">
    <w:name w:val="heading 8"/>
    <w:basedOn w:val="Normal"/>
    <w:next w:val="Normal"/>
    <w:link w:val="Balk8Char"/>
    <w:qFormat/>
    <w:rsid w:val="00211B55"/>
    <w:pPr>
      <w:keepNext/>
      <w:tabs>
        <w:tab w:val="left" w:pos="567"/>
      </w:tabs>
      <w:ind w:firstLine="284"/>
      <w:jc w:val="center"/>
      <w:outlineLvl w:val="7"/>
    </w:pPr>
    <w:rPr>
      <w:rFonts w:cs="Times New Roman"/>
      <w:b/>
      <w:bCs/>
      <w:sz w:val="28"/>
      <w:szCs w:val="28"/>
    </w:rPr>
  </w:style>
  <w:style w:type="paragraph" w:styleId="Balk9">
    <w:name w:val="heading 9"/>
    <w:basedOn w:val="Normal"/>
    <w:next w:val="Normal"/>
    <w:link w:val="Balk9Char"/>
    <w:qFormat/>
    <w:rsid w:val="00211B55"/>
    <w:pPr>
      <w:keepNext/>
      <w:tabs>
        <w:tab w:val="left" w:pos="567"/>
      </w:tabs>
      <w:outlineLvl w:val="8"/>
    </w:pPr>
    <w:rPr>
      <w:rFonts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rsid w:val="002A566B"/>
    <w:rPr>
      <w:b/>
      <w:bCs/>
      <w:kern w:val="32"/>
      <w:sz w:val="32"/>
      <w:szCs w:val="32"/>
      <w:lang w:eastAsia="tr-TR"/>
    </w:rPr>
  </w:style>
  <w:style w:type="character" w:customStyle="1" w:styleId="Balk2Char">
    <w:name w:val="Başlık 2 Char"/>
    <w:basedOn w:val="VarsaylanParagrafYazTipi"/>
    <w:link w:val="Balk2"/>
    <w:rsid w:val="00E12406"/>
    <w:rPr>
      <w:b/>
      <w:bCs/>
      <w:i/>
      <w:iCs/>
      <w:sz w:val="28"/>
      <w:szCs w:val="28"/>
      <w:lang w:eastAsia="tr-TR"/>
    </w:rPr>
  </w:style>
  <w:style w:type="character" w:customStyle="1" w:styleId="Balk3Char">
    <w:name w:val="Başlık 3 Char"/>
    <w:basedOn w:val="VarsaylanParagrafYazTipi"/>
    <w:link w:val="Balk3"/>
    <w:rsid w:val="00E12406"/>
    <w:rPr>
      <w:b/>
      <w:bCs/>
      <w:sz w:val="26"/>
      <w:szCs w:val="26"/>
      <w:lang w:eastAsia="tr-TR"/>
    </w:rPr>
  </w:style>
  <w:style w:type="character" w:customStyle="1" w:styleId="Balk4Char">
    <w:name w:val="Başlık 4 Char"/>
    <w:basedOn w:val="VarsaylanParagrafYazTipi"/>
    <w:link w:val="Balk4"/>
    <w:rsid w:val="00E12406"/>
    <w:rPr>
      <w:b/>
      <w:bCs/>
      <w:sz w:val="28"/>
      <w:szCs w:val="28"/>
      <w:lang w:eastAsia="tr-TR"/>
    </w:rPr>
  </w:style>
  <w:style w:type="character" w:customStyle="1" w:styleId="Balk5Char">
    <w:name w:val="Başlık 5 Char"/>
    <w:basedOn w:val="VarsaylanParagrafYazTipi"/>
    <w:link w:val="Balk5"/>
    <w:rsid w:val="00E12406"/>
    <w:rPr>
      <w:b/>
      <w:bCs/>
      <w:i/>
      <w:iCs/>
      <w:sz w:val="26"/>
      <w:szCs w:val="26"/>
      <w:lang w:eastAsia="tr-TR"/>
    </w:rPr>
  </w:style>
  <w:style w:type="character" w:customStyle="1" w:styleId="Balk6Char">
    <w:name w:val="Başlık 6 Char"/>
    <w:basedOn w:val="VarsaylanParagrafYazTipi"/>
    <w:link w:val="Balk6"/>
    <w:rsid w:val="00E12406"/>
    <w:rPr>
      <w:b/>
      <w:bCs/>
      <w:sz w:val="22"/>
      <w:szCs w:val="22"/>
      <w:lang w:eastAsia="tr-TR"/>
    </w:rPr>
  </w:style>
  <w:style w:type="character" w:customStyle="1" w:styleId="Balk7Char">
    <w:name w:val="Başlık 7 Char"/>
    <w:basedOn w:val="VarsaylanParagrafYazTipi"/>
    <w:link w:val="Balk7"/>
    <w:rsid w:val="00E12406"/>
    <w:rPr>
      <w:sz w:val="24"/>
      <w:szCs w:val="24"/>
      <w:lang w:eastAsia="tr-TR"/>
    </w:rPr>
  </w:style>
  <w:style w:type="character" w:customStyle="1" w:styleId="Balk8Char">
    <w:name w:val="Başlık 8 Char"/>
    <w:basedOn w:val="VarsaylanParagrafYazTipi"/>
    <w:link w:val="Balk8"/>
    <w:rsid w:val="00E12406"/>
    <w:rPr>
      <w:b/>
      <w:bCs/>
      <w:sz w:val="28"/>
      <w:szCs w:val="28"/>
      <w:lang w:eastAsia="tr-TR"/>
    </w:rPr>
  </w:style>
  <w:style w:type="character" w:customStyle="1" w:styleId="Balk9Char">
    <w:name w:val="Başlık 9 Char"/>
    <w:basedOn w:val="VarsaylanParagrafYazTipi"/>
    <w:link w:val="Balk9"/>
    <w:rsid w:val="00E12406"/>
    <w:rPr>
      <w:b/>
      <w:bCs/>
      <w:sz w:val="24"/>
      <w:szCs w:val="24"/>
      <w:lang w:eastAsia="tr-TR"/>
    </w:rPr>
  </w:style>
  <w:style w:type="paragraph" w:styleId="KonuBal">
    <w:name w:val="Title"/>
    <w:basedOn w:val="Normal"/>
    <w:link w:val="KonuBalChar1"/>
    <w:qFormat/>
    <w:rsid w:val="00211B55"/>
    <w:pPr>
      <w:widowControl w:val="0"/>
      <w:jc w:val="center"/>
    </w:pPr>
    <w:rPr>
      <w:rFonts w:cs="Times New Roman"/>
      <w:b/>
      <w:bCs/>
      <w:snapToGrid w:val="0"/>
    </w:rPr>
  </w:style>
  <w:style w:type="character" w:customStyle="1" w:styleId="KonuBalChar">
    <w:name w:val="Konu Başlığı Char"/>
    <w:basedOn w:val="VarsaylanParagrafYazTipi"/>
    <w:rsid w:val="002A566B"/>
    <w:rPr>
      <w:b/>
      <w:bCs/>
      <w:snapToGrid w:val="0"/>
      <w:sz w:val="24"/>
      <w:szCs w:val="24"/>
      <w:lang w:eastAsia="tr-TR"/>
    </w:rPr>
  </w:style>
  <w:style w:type="paragraph" w:customStyle="1" w:styleId="msoheadng7">
    <w:name w:val="msoheadıng7"/>
    <w:basedOn w:val="Normal"/>
    <w:next w:val="Normal"/>
    <w:uiPriority w:val="99"/>
    <w:rsid w:val="00E12406"/>
    <w:pPr>
      <w:keepNext/>
      <w:jc w:val="center"/>
      <w:outlineLvl w:val="6"/>
    </w:pPr>
    <w:rPr>
      <w:b/>
      <w:bCs/>
      <w:sz w:val="20"/>
      <w:szCs w:val="20"/>
    </w:rPr>
  </w:style>
  <w:style w:type="paragraph" w:customStyle="1" w:styleId="msoheadng8">
    <w:name w:val="msoheadıng8"/>
    <w:basedOn w:val="Normal"/>
    <w:next w:val="Normal"/>
    <w:uiPriority w:val="99"/>
    <w:rsid w:val="00E12406"/>
    <w:pPr>
      <w:keepNext/>
      <w:ind w:firstLine="567"/>
      <w:jc w:val="both"/>
      <w:outlineLvl w:val="7"/>
    </w:pPr>
    <w:rPr>
      <w:b/>
      <w:bCs/>
    </w:rPr>
  </w:style>
  <w:style w:type="paragraph" w:customStyle="1" w:styleId="msoheadng9">
    <w:name w:val="msoheadıng9"/>
    <w:basedOn w:val="Normal"/>
    <w:next w:val="Normal"/>
    <w:uiPriority w:val="99"/>
    <w:rsid w:val="00E12406"/>
    <w:pPr>
      <w:spacing w:before="240" w:after="60"/>
      <w:outlineLvl w:val="8"/>
    </w:pPr>
    <w:rPr>
      <w:sz w:val="22"/>
      <w:szCs w:val="22"/>
    </w:rPr>
  </w:style>
  <w:style w:type="paragraph" w:customStyle="1" w:styleId="msottle">
    <w:name w:val="msotıtle"/>
    <w:basedOn w:val="Normal"/>
    <w:uiPriority w:val="99"/>
    <w:rsid w:val="00E12406"/>
    <w:pPr>
      <w:jc w:val="center"/>
    </w:pPr>
    <w:rPr>
      <w:rFonts w:ascii="Arial Narrow" w:hAnsi="Arial Narrow"/>
      <w:b/>
    </w:rPr>
  </w:style>
  <w:style w:type="paragraph" w:customStyle="1" w:styleId="msosubttle">
    <w:name w:val="msosubtıtle"/>
    <w:basedOn w:val="Normal"/>
    <w:uiPriority w:val="99"/>
    <w:rsid w:val="00E12406"/>
    <w:pPr>
      <w:jc w:val="center"/>
    </w:pPr>
    <w:rPr>
      <w:b/>
      <w:bCs/>
    </w:rPr>
  </w:style>
  <w:style w:type="character" w:customStyle="1" w:styleId="Balk1Char1">
    <w:name w:val="Başlık 1 Char1"/>
    <w:basedOn w:val="VarsaylanParagrafYazTipi"/>
    <w:link w:val="Balk1"/>
    <w:locked/>
    <w:rsid w:val="00E12406"/>
    <w:rPr>
      <w:b/>
      <w:bCs/>
      <w:kern w:val="32"/>
      <w:sz w:val="32"/>
      <w:szCs w:val="32"/>
      <w:lang w:eastAsia="tr-TR"/>
    </w:rPr>
  </w:style>
  <w:style w:type="character" w:customStyle="1" w:styleId="KonuBalChar1">
    <w:name w:val="Konu Başlığı Char1"/>
    <w:basedOn w:val="VarsaylanParagrafYazTipi"/>
    <w:link w:val="KonuBal"/>
    <w:locked/>
    <w:rsid w:val="00E12406"/>
    <w:rPr>
      <w:b/>
      <w:bCs/>
      <w:snapToGrid w:val="0"/>
      <w:sz w:val="24"/>
      <w:szCs w:val="24"/>
      <w:lang w:eastAsia="tr-TR"/>
    </w:rPr>
  </w:style>
  <w:style w:type="paragraph" w:styleId="Altyaz">
    <w:name w:val="Subtitle"/>
    <w:aliases w:val=" Char,Char"/>
    <w:basedOn w:val="Normal"/>
    <w:link w:val="AltyazChar"/>
    <w:uiPriority w:val="11"/>
    <w:qFormat/>
    <w:rsid w:val="00E12406"/>
    <w:pPr>
      <w:spacing w:after="60"/>
      <w:jc w:val="center"/>
      <w:outlineLvl w:val="1"/>
    </w:pPr>
    <w:rPr>
      <w:rFonts w:asciiTheme="majorHAnsi" w:eastAsiaTheme="majorEastAsia" w:hAnsiTheme="majorHAnsi" w:cstheme="majorBidi"/>
    </w:rPr>
  </w:style>
  <w:style w:type="character" w:customStyle="1" w:styleId="AltyazChar">
    <w:name w:val="Altyazı Char"/>
    <w:aliases w:val=" Char Char,Char Char"/>
    <w:basedOn w:val="VarsaylanParagrafYazTipi"/>
    <w:link w:val="Altyaz"/>
    <w:uiPriority w:val="11"/>
    <w:rsid w:val="00E12406"/>
    <w:rPr>
      <w:rFonts w:asciiTheme="majorHAnsi" w:eastAsiaTheme="majorEastAsia" w:hAnsiTheme="majorHAnsi" w:cstheme="majorBidi"/>
      <w:sz w:val="24"/>
      <w:szCs w:val="24"/>
      <w:lang w:eastAsia="tr-TR"/>
    </w:rPr>
  </w:style>
  <w:style w:type="character" w:styleId="Gl">
    <w:name w:val="Strong"/>
    <w:basedOn w:val="VarsaylanParagrafYazTipi"/>
    <w:uiPriority w:val="22"/>
    <w:qFormat/>
    <w:rsid w:val="00E12406"/>
    <w:rPr>
      <w:b/>
      <w:bCs/>
    </w:rPr>
  </w:style>
  <w:style w:type="paragraph" w:styleId="AralkYok">
    <w:name w:val="No Spacing"/>
    <w:uiPriority w:val="1"/>
    <w:qFormat/>
    <w:rsid w:val="00E12406"/>
    <w:rPr>
      <w:rFonts w:eastAsia="Calibri"/>
      <w:sz w:val="24"/>
      <w:szCs w:val="24"/>
      <w:lang w:eastAsia="tr-TR"/>
    </w:rPr>
  </w:style>
  <w:style w:type="paragraph" w:styleId="ListeParagraf">
    <w:name w:val="List Paragraph"/>
    <w:basedOn w:val="Normal"/>
    <w:uiPriority w:val="34"/>
    <w:qFormat/>
    <w:rsid w:val="00E1240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266</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YILMAZ2</dc:creator>
  <cp:keywords/>
  <dc:description/>
  <cp:lastModifiedBy>Önal YILMAZ – ASSET GÜMRÜK MÜŞAVİRLİĞİ / İSTANBUL</cp:lastModifiedBy>
  <cp:revision>2</cp:revision>
  <dcterms:created xsi:type="dcterms:W3CDTF">2017-11-28T14:03:00Z</dcterms:created>
  <dcterms:modified xsi:type="dcterms:W3CDTF">2017-11-28T14:03:00Z</dcterms:modified>
</cp:coreProperties>
</file>