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241EC4" w:rsidRPr="00241EC4" w:rsidTr="00241EC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41EC4" w:rsidRPr="00241EC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1EC4" w:rsidRPr="00241EC4" w:rsidRDefault="00241EC4" w:rsidP="00241EC4">
                  <w:pPr>
                    <w:spacing w:after="0" w:line="240" w:lineRule="atLeast"/>
                    <w:rPr>
                      <w:rFonts w:ascii="Times New Roman" w:eastAsia="Times New Roman" w:hAnsi="Times New Roman" w:cs="Times New Roman"/>
                      <w:sz w:val="24"/>
                      <w:szCs w:val="24"/>
                      <w:lang w:eastAsia="tr-TR"/>
                    </w:rPr>
                  </w:pPr>
                  <w:r w:rsidRPr="00241EC4">
                    <w:rPr>
                      <w:rFonts w:ascii="Arial" w:eastAsia="Times New Roman" w:hAnsi="Arial" w:cs="Arial"/>
                      <w:sz w:val="16"/>
                      <w:szCs w:val="16"/>
                      <w:lang w:eastAsia="tr-TR"/>
                    </w:rPr>
                    <w:t>27 Mart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41EC4" w:rsidRPr="00241EC4" w:rsidRDefault="00241EC4" w:rsidP="00241EC4">
                  <w:pPr>
                    <w:spacing w:after="0" w:line="240" w:lineRule="atLeast"/>
                    <w:jc w:val="center"/>
                    <w:rPr>
                      <w:rFonts w:ascii="Times New Roman" w:eastAsia="Times New Roman" w:hAnsi="Times New Roman" w:cs="Times New Roman"/>
                      <w:sz w:val="24"/>
                      <w:szCs w:val="24"/>
                      <w:lang w:eastAsia="tr-TR"/>
                    </w:rPr>
                  </w:pPr>
                  <w:r w:rsidRPr="00241EC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41EC4" w:rsidRPr="00241EC4" w:rsidRDefault="00241EC4" w:rsidP="00241EC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41EC4">
                    <w:rPr>
                      <w:rFonts w:ascii="Arial" w:eastAsia="Times New Roman" w:hAnsi="Arial" w:cs="Arial"/>
                      <w:sz w:val="16"/>
                      <w:szCs w:val="16"/>
                      <w:lang w:eastAsia="tr-TR"/>
                    </w:rPr>
                    <w:t>Sayı : 31436</w:t>
                  </w:r>
                  <w:proofErr w:type="gramEnd"/>
                </w:p>
              </w:tc>
            </w:tr>
            <w:tr w:rsidR="00241EC4" w:rsidRPr="00241EC4">
              <w:trPr>
                <w:trHeight w:val="480"/>
                <w:jc w:val="center"/>
              </w:trPr>
              <w:tc>
                <w:tcPr>
                  <w:tcW w:w="8789" w:type="dxa"/>
                  <w:gridSpan w:val="3"/>
                  <w:tcMar>
                    <w:top w:w="0" w:type="dxa"/>
                    <w:left w:w="108" w:type="dxa"/>
                    <w:bottom w:w="0" w:type="dxa"/>
                    <w:right w:w="108" w:type="dxa"/>
                  </w:tcMar>
                  <w:vAlign w:val="center"/>
                  <w:hideMark/>
                </w:tcPr>
                <w:p w:rsidR="00241EC4" w:rsidRPr="00241EC4" w:rsidRDefault="00241EC4" w:rsidP="00241E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41EC4">
                    <w:rPr>
                      <w:rFonts w:ascii="Arial" w:eastAsia="Times New Roman" w:hAnsi="Arial" w:cs="Arial"/>
                      <w:b/>
                      <w:bCs/>
                      <w:color w:val="000080"/>
                      <w:sz w:val="18"/>
                      <w:szCs w:val="18"/>
                      <w:lang w:eastAsia="tr-TR"/>
                    </w:rPr>
                    <w:t>TEBLİĞ</w:t>
                  </w:r>
                </w:p>
              </w:tc>
            </w:tr>
            <w:tr w:rsidR="00241EC4" w:rsidRPr="00241EC4">
              <w:trPr>
                <w:trHeight w:val="480"/>
                <w:jc w:val="center"/>
              </w:trPr>
              <w:tc>
                <w:tcPr>
                  <w:tcW w:w="8789" w:type="dxa"/>
                  <w:gridSpan w:val="3"/>
                  <w:tcMar>
                    <w:top w:w="0" w:type="dxa"/>
                    <w:left w:w="108" w:type="dxa"/>
                    <w:bottom w:w="0" w:type="dxa"/>
                    <w:right w:w="108" w:type="dxa"/>
                  </w:tcMar>
                  <w:vAlign w:val="center"/>
                  <w:hideMark/>
                </w:tcPr>
                <w:p w:rsidR="00241EC4" w:rsidRPr="00241EC4" w:rsidRDefault="00241EC4" w:rsidP="00241EC4">
                  <w:pPr>
                    <w:spacing w:after="0" w:line="240" w:lineRule="atLeast"/>
                    <w:ind w:firstLine="566"/>
                    <w:jc w:val="both"/>
                    <w:rPr>
                      <w:rFonts w:ascii="Times New Roman" w:eastAsia="Times New Roman" w:hAnsi="Times New Roman" w:cs="Times New Roman"/>
                      <w:u w:val="single"/>
                      <w:lang w:eastAsia="tr-TR"/>
                    </w:rPr>
                  </w:pPr>
                  <w:r w:rsidRPr="00241EC4">
                    <w:rPr>
                      <w:rFonts w:ascii="Times New Roman" w:eastAsia="Times New Roman" w:hAnsi="Times New Roman" w:cs="Times New Roman"/>
                      <w:sz w:val="18"/>
                      <w:szCs w:val="18"/>
                      <w:u w:val="single"/>
                      <w:lang w:eastAsia="tr-TR"/>
                    </w:rPr>
                    <w:t>Ticaret Bakanlığından:</w:t>
                  </w:r>
                </w:p>
                <w:p w:rsidR="00241EC4" w:rsidRPr="00241EC4" w:rsidRDefault="00241EC4" w:rsidP="00241EC4">
                  <w:pPr>
                    <w:spacing w:after="0" w:line="240" w:lineRule="atLeast"/>
                    <w:jc w:val="center"/>
                    <w:rPr>
                      <w:rFonts w:ascii="Times New Roman" w:eastAsia="Times New Roman" w:hAnsi="Times New Roman" w:cs="Times New Roman"/>
                      <w:b/>
                      <w:bCs/>
                      <w:sz w:val="19"/>
                      <w:szCs w:val="19"/>
                      <w:lang w:eastAsia="tr-TR"/>
                    </w:rPr>
                  </w:pPr>
                  <w:r w:rsidRPr="00241EC4">
                    <w:rPr>
                      <w:rFonts w:ascii="Times New Roman" w:eastAsia="Times New Roman" w:hAnsi="Times New Roman" w:cs="Times New Roman"/>
                      <w:b/>
                      <w:bCs/>
                      <w:sz w:val="18"/>
                      <w:szCs w:val="18"/>
                      <w:lang w:eastAsia="tr-TR"/>
                    </w:rPr>
                    <w:t>İTHALATTA HAKSIZ REKABETİN ÖNLENMESİNE</w:t>
                  </w:r>
                </w:p>
                <w:p w:rsidR="00241EC4" w:rsidRPr="00241EC4" w:rsidRDefault="00241EC4" w:rsidP="00241EC4">
                  <w:pPr>
                    <w:spacing w:after="0" w:line="240" w:lineRule="atLeast"/>
                    <w:jc w:val="center"/>
                    <w:rPr>
                      <w:rFonts w:ascii="Times New Roman" w:eastAsia="Times New Roman" w:hAnsi="Times New Roman" w:cs="Times New Roman"/>
                      <w:b/>
                      <w:bCs/>
                      <w:sz w:val="19"/>
                      <w:szCs w:val="19"/>
                      <w:lang w:eastAsia="tr-TR"/>
                    </w:rPr>
                  </w:pPr>
                  <w:r w:rsidRPr="00241EC4">
                    <w:rPr>
                      <w:rFonts w:ascii="Times New Roman" w:eastAsia="Times New Roman" w:hAnsi="Times New Roman" w:cs="Times New Roman"/>
                      <w:b/>
                      <w:bCs/>
                      <w:sz w:val="18"/>
                      <w:szCs w:val="18"/>
                      <w:lang w:eastAsia="tr-TR"/>
                    </w:rPr>
                    <w:t>İLİŞKİN TEBLİĞ (TEBLİĞ NO: 2021/14)</w:t>
                  </w:r>
                </w:p>
                <w:p w:rsidR="00241EC4" w:rsidRPr="00241EC4" w:rsidRDefault="00241EC4" w:rsidP="00241EC4">
                  <w:pPr>
                    <w:spacing w:after="0" w:line="240" w:lineRule="atLeast"/>
                    <w:jc w:val="center"/>
                    <w:rPr>
                      <w:rFonts w:ascii="Times New Roman" w:eastAsia="Times New Roman" w:hAnsi="Times New Roman" w:cs="Times New Roman"/>
                      <w:b/>
                      <w:bCs/>
                      <w:sz w:val="19"/>
                      <w:szCs w:val="19"/>
                      <w:lang w:eastAsia="tr-TR"/>
                    </w:rPr>
                  </w:pPr>
                  <w:r w:rsidRPr="00241EC4">
                    <w:rPr>
                      <w:rFonts w:ascii="Times New Roman" w:eastAsia="Times New Roman" w:hAnsi="Times New Roman" w:cs="Times New Roman"/>
                      <w:b/>
                      <w:bCs/>
                      <w:sz w:val="18"/>
                      <w:szCs w:val="18"/>
                      <w:lang w:eastAsia="tr-TR"/>
                    </w:rPr>
                    <w:t> </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Amaç ve kapsam</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proofErr w:type="gramStart"/>
                  <w:r w:rsidRPr="00241EC4">
                    <w:rPr>
                      <w:rFonts w:ascii="Times New Roman" w:eastAsia="Times New Roman" w:hAnsi="Times New Roman" w:cs="Times New Roman"/>
                      <w:b/>
                      <w:bCs/>
                      <w:sz w:val="18"/>
                      <w:szCs w:val="18"/>
                      <w:lang w:eastAsia="tr-TR"/>
                    </w:rPr>
                    <w:t>MADDE 1 – </w:t>
                  </w:r>
                  <w:r w:rsidRPr="00241EC4">
                    <w:rPr>
                      <w:rFonts w:ascii="Times New Roman" w:eastAsia="Times New Roman" w:hAnsi="Times New Roman" w:cs="Times New Roman"/>
                      <w:sz w:val="18"/>
                      <w:szCs w:val="18"/>
                      <w:lang w:eastAsia="tr-TR"/>
                    </w:rPr>
                    <w:t xml:space="preserve">(1) Bu Tebliğin amacı, 24/10/2019 tarihli ve 30928 sayılı Resmî </w:t>
                  </w:r>
                  <w:proofErr w:type="spellStart"/>
                  <w:r w:rsidRPr="00241EC4">
                    <w:rPr>
                      <w:rFonts w:ascii="Times New Roman" w:eastAsia="Times New Roman" w:hAnsi="Times New Roman" w:cs="Times New Roman"/>
                      <w:sz w:val="18"/>
                      <w:szCs w:val="18"/>
                      <w:lang w:eastAsia="tr-TR"/>
                    </w:rPr>
                    <w:t>Gazete’de</w:t>
                  </w:r>
                  <w:proofErr w:type="spellEnd"/>
                  <w:r w:rsidRPr="00241EC4">
                    <w:rPr>
                      <w:rFonts w:ascii="Times New Roman" w:eastAsia="Times New Roman" w:hAnsi="Times New Roman" w:cs="Times New Roman"/>
                      <w:sz w:val="18"/>
                      <w:szCs w:val="18"/>
                      <w:lang w:eastAsia="tr-TR"/>
                    </w:rPr>
                    <w:t xml:space="preserve"> yayımlanan İthalatta Haksız Rekabetin Önlenmesine İlişkin Tebliğ (Tebliğ No: 2019/29) ile Kore Cumhuriyeti ve Kuzey Makedonya Cumhuriyeti menşeli ve/veya çıkışlı 8302.10 gümrük tarife pozisyonunda tanımlı “menteşeler (sivil hava taşıtlarında kullanılanlar hariç; 8302.10.00.00.12 gümrük tarife istatistik pozisyonunda yer alan nakil vasıtalarına mahsus olanlar hariç)”, 8302.50.00.00.00 gümrük tarife istatistik pozisyonunda tanımlı “sabit askılıklar, şapka askıları, dirsekler, benzeri eşya” ve 8302.42.00.00.00 gümrük tarife istatistik pozisyonunda tanımlı “diğerleri, mobilyalar için olanlar (sivil hava taşıtlarında kullanılanlar ve koltuk amortisörleri hariç)” ithalatına yönelik başlatılan ve Ticaret Bakanlığı İthalat Genel Müdürlüğü tarafından yürütülen önlemlerin etkisiz kılınmasına karşı soruşturmanın tamamlanması neticesinde alınan kararların yürürlüğe konulmasıdır.</w:t>
                  </w:r>
                  <w:proofErr w:type="gramEnd"/>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Dayanak</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proofErr w:type="gramStart"/>
                  <w:r w:rsidRPr="00241EC4">
                    <w:rPr>
                      <w:rFonts w:ascii="Times New Roman" w:eastAsia="Times New Roman" w:hAnsi="Times New Roman" w:cs="Times New Roman"/>
                      <w:b/>
                      <w:bCs/>
                      <w:sz w:val="18"/>
                      <w:szCs w:val="18"/>
                      <w:lang w:eastAsia="tr-TR"/>
                    </w:rPr>
                    <w:t>MADDE 2 – </w:t>
                  </w:r>
                  <w:r w:rsidRPr="00241EC4">
                    <w:rPr>
                      <w:rFonts w:ascii="Times New Roman" w:eastAsia="Times New Roman" w:hAnsi="Times New Roman" w:cs="Times New Roman"/>
                      <w:sz w:val="18"/>
                      <w:szCs w:val="18"/>
                      <w:lang w:eastAsia="tr-TR"/>
                    </w:rPr>
                    <w:t xml:space="preserve">(1)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241EC4">
                    <w:rPr>
                      <w:rFonts w:ascii="Times New Roman" w:eastAsia="Times New Roman" w:hAnsi="Times New Roman" w:cs="Times New Roman"/>
                      <w:sz w:val="18"/>
                      <w:szCs w:val="18"/>
                      <w:lang w:eastAsia="tr-TR"/>
                    </w:rPr>
                    <w:t>Gazete’de</w:t>
                  </w:r>
                  <w:proofErr w:type="spellEnd"/>
                  <w:r w:rsidRPr="00241EC4">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roofErr w:type="gramEnd"/>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Tanımlar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MADDE 3 – </w:t>
                  </w:r>
                  <w:r w:rsidRPr="00241EC4">
                    <w:rPr>
                      <w:rFonts w:ascii="Times New Roman" w:eastAsia="Times New Roman" w:hAnsi="Times New Roman" w:cs="Times New Roman"/>
                      <w:sz w:val="18"/>
                      <w:szCs w:val="18"/>
                      <w:lang w:eastAsia="tr-TR"/>
                    </w:rPr>
                    <w:t>(1) Bu Tebliğde geçen;</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a) ÇHC: Çin Halk Cumhuriyeti’ni,</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b) GTP: Gümrük tarife pozisyonunu,</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c) GTİP: Gümrük tarife istatistik pozisyonunu,</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ç) Güney Kore: Kore Cumhuriyeti’ni,</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d) Kurul: İthalatta Haksız Rekabeti Değerlendirme Kurulunu,</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e) Makedonya: Kuzey Makedonya Cumhuriyeti’ni,</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f) TGTC: İstatistik Pozisyonlarına Bölünmüş Türk Gümrük Tarife Cetvelini,</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proofErr w:type="gramStart"/>
                  <w:r w:rsidRPr="00241EC4">
                    <w:rPr>
                      <w:rFonts w:ascii="Times New Roman" w:eastAsia="Times New Roman" w:hAnsi="Times New Roman" w:cs="Times New Roman"/>
                      <w:sz w:val="18"/>
                      <w:szCs w:val="18"/>
                      <w:lang w:eastAsia="tr-TR"/>
                    </w:rPr>
                    <w:t>ifade</w:t>
                  </w:r>
                  <w:proofErr w:type="gramEnd"/>
                  <w:r w:rsidRPr="00241EC4">
                    <w:rPr>
                      <w:rFonts w:ascii="Times New Roman" w:eastAsia="Times New Roman" w:hAnsi="Times New Roman" w:cs="Times New Roman"/>
                      <w:sz w:val="18"/>
                      <w:szCs w:val="18"/>
                      <w:lang w:eastAsia="tr-TR"/>
                    </w:rPr>
                    <w:t xml:space="preserve"> eder.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 xml:space="preserve">Yürürlükteki </w:t>
                  </w:r>
                  <w:proofErr w:type="gramStart"/>
                  <w:r w:rsidRPr="00241EC4">
                    <w:rPr>
                      <w:rFonts w:ascii="Times New Roman" w:eastAsia="Times New Roman" w:hAnsi="Times New Roman" w:cs="Times New Roman"/>
                      <w:b/>
                      <w:bCs/>
                      <w:sz w:val="18"/>
                      <w:szCs w:val="18"/>
                      <w:lang w:eastAsia="tr-TR"/>
                    </w:rPr>
                    <w:t>dampinge</w:t>
                  </w:r>
                  <w:proofErr w:type="gramEnd"/>
                  <w:r w:rsidRPr="00241EC4">
                    <w:rPr>
                      <w:rFonts w:ascii="Times New Roman" w:eastAsia="Times New Roman" w:hAnsi="Times New Roman" w:cs="Times New Roman"/>
                      <w:b/>
                      <w:bCs/>
                      <w:sz w:val="18"/>
                      <w:szCs w:val="18"/>
                      <w:lang w:eastAsia="tr-TR"/>
                    </w:rPr>
                    <w:t xml:space="preserve"> karşı önlem</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MADDE 4 –</w:t>
                  </w:r>
                  <w:r w:rsidRPr="00241EC4">
                    <w:rPr>
                      <w:rFonts w:ascii="Times New Roman" w:eastAsia="Times New Roman" w:hAnsi="Times New Roman" w:cs="Times New Roman"/>
                      <w:sz w:val="18"/>
                      <w:szCs w:val="18"/>
                      <w:lang w:eastAsia="tr-TR"/>
                    </w:rPr>
                    <w:t xml:space="preserve"> (1) 21/12/2016 tarihli ve 29925 sayılı Resmî </w:t>
                  </w:r>
                  <w:proofErr w:type="spellStart"/>
                  <w:r w:rsidRPr="00241EC4">
                    <w:rPr>
                      <w:rFonts w:ascii="Times New Roman" w:eastAsia="Times New Roman" w:hAnsi="Times New Roman" w:cs="Times New Roman"/>
                      <w:sz w:val="18"/>
                      <w:szCs w:val="18"/>
                      <w:lang w:eastAsia="tr-TR"/>
                    </w:rPr>
                    <w:t>Gazete’de</w:t>
                  </w:r>
                  <w:proofErr w:type="spellEnd"/>
                  <w:r w:rsidRPr="00241EC4">
                    <w:rPr>
                      <w:rFonts w:ascii="Times New Roman" w:eastAsia="Times New Roman" w:hAnsi="Times New Roman" w:cs="Times New Roman"/>
                      <w:sz w:val="18"/>
                      <w:szCs w:val="18"/>
                      <w:lang w:eastAsia="tr-TR"/>
                    </w:rPr>
                    <w:t xml:space="preserve"> yayımlanan İthalatta Haksız Rekabetin Önlenmesine İlişkin Tebliğ (Tebliğ No: 2016/53) çerçevesinde 8302.10 gümrük tarife pozisyonunda tanımlı “menteşeler (sivil hava taşıtlarında kullanılanlar hariç; 8302.10.00.00.12 pozisyonunda yer alan nakil vasıtalarına mahsus olanlar hariç)”, 8302.50.00.00.00 gümrük tarife istatistik pozisyonunda tanımlı “sabit askılıklar, şapka askıları, dirsekler, benzeri eşya” ve 8302.42.00.00.00 gümrük tarife istatistik pozisyonunda tanımlı “diğerleri, mobilyalar için olanlar (sivil hava taşıtlarında kullanılanlar ve koltuk amortisörleri hariç)” ithalatında </w:t>
                  </w:r>
                  <w:proofErr w:type="gramStart"/>
                  <w:r w:rsidRPr="00241EC4">
                    <w:rPr>
                      <w:rFonts w:ascii="Times New Roman" w:eastAsia="Times New Roman" w:hAnsi="Times New Roman" w:cs="Times New Roman"/>
                      <w:sz w:val="18"/>
                      <w:szCs w:val="18"/>
                      <w:lang w:eastAsia="tr-TR"/>
                    </w:rPr>
                    <w:t>dampinge</w:t>
                  </w:r>
                  <w:proofErr w:type="gramEnd"/>
                  <w:r w:rsidRPr="00241EC4">
                    <w:rPr>
                      <w:rFonts w:ascii="Times New Roman" w:eastAsia="Times New Roman" w:hAnsi="Times New Roman" w:cs="Times New Roman"/>
                      <w:sz w:val="18"/>
                      <w:szCs w:val="18"/>
                      <w:lang w:eastAsia="tr-TR"/>
                    </w:rPr>
                    <w:t xml:space="preserve"> karşı önlem uygulanmaktadır.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proofErr w:type="gramStart"/>
                  <w:r w:rsidRPr="00241EC4">
                    <w:rPr>
                      <w:rFonts w:ascii="Times New Roman" w:eastAsia="Times New Roman" w:hAnsi="Times New Roman" w:cs="Times New Roman"/>
                      <w:sz w:val="18"/>
                      <w:szCs w:val="18"/>
                      <w:lang w:eastAsia="tr-TR"/>
                    </w:rPr>
                    <w:t xml:space="preserve">(2) Soruşturmanın açılışı sonrasında 8302.42.00.00.00 gümrük tarife istatistik pozisyonu altında sınıflandırılan eşya, 30/12/2020 tarihli ve 3345 sayılı Cumhurbaşkanı Kararıyla yürürlüğe konulan </w:t>
                  </w:r>
                  <w:proofErr w:type="spellStart"/>
                  <w:r w:rsidRPr="00241EC4">
                    <w:rPr>
                      <w:rFonts w:ascii="Times New Roman" w:eastAsia="Times New Roman" w:hAnsi="Times New Roman" w:cs="Times New Roman"/>
                      <w:sz w:val="18"/>
                      <w:szCs w:val="18"/>
                      <w:lang w:eastAsia="tr-TR"/>
                    </w:rPr>
                    <w:t>TGTC’de</w:t>
                  </w:r>
                  <w:proofErr w:type="spellEnd"/>
                  <w:r w:rsidRPr="00241EC4">
                    <w:rPr>
                      <w:rFonts w:ascii="Times New Roman" w:eastAsia="Times New Roman" w:hAnsi="Times New Roman" w:cs="Times New Roman"/>
                      <w:sz w:val="18"/>
                      <w:szCs w:val="18"/>
                      <w:lang w:eastAsia="tr-TR"/>
                    </w:rPr>
                    <w:t xml:space="preserve"> değişikliğe uğramış olup 8302.42.00.00.11 GTİP altında “koltuk amortisörleri” ve 8302.42.00.00.19 GTİP altında “diğerleri” şeklinde düzenlenmiştir.</w:t>
                  </w:r>
                  <w:proofErr w:type="gramEnd"/>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Karar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MADDE 5 – </w:t>
                  </w:r>
                  <w:r w:rsidRPr="00241EC4">
                    <w:rPr>
                      <w:rFonts w:ascii="Times New Roman" w:eastAsia="Times New Roman" w:hAnsi="Times New Roman" w:cs="Times New Roman"/>
                      <w:sz w:val="18"/>
                      <w:szCs w:val="18"/>
                      <w:lang w:eastAsia="tr-TR"/>
                    </w:rPr>
                    <w:t xml:space="preserve">(1) Yürütülen soruşturma sonucunda, Güney Kore’de ve Makedonya’da yerleşik firmaların, yürürlükteki </w:t>
                  </w:r>
                  <w:proofErr w:type="gramStart"/>
                  <w:r w:rsidRPr="00241EC4">
                    <w:rPr>
                      <w:rFonts w:ascii="Times New Roman" w:eastAsia="Times New Roman" w:hAnsi="Times New Roman" w:cs="Times New Roman"/>
                      <w:sz w:val="18"/>
                      <w:szCs w:val="18"/>
                      <w:lang w:eastAsia="tr-TR"/>
                    </w:rPr>
                    <w:t>dampinge</w:t>
                  </w:r>
                  <w:proofErr w:type="gramEnd"/>
                  <w:r w:rsidRPr="00241EC4">
                    <w:rPr>
                      <w:rFonts w:ascii="Times New Roman" w:eastAsia="Times New Roman" w:hAnsi="Times New Roman" w:cs="Times New Roman"/>
                      <w:sz w:val="18"/>
                      <w:szCs w:val="18"/>
                      <w:lang w:eastAsia="tr-TR"/>
                    </w:rPr>
                    <w:t xml:space="preserve"> karşı önlemden kaçınma dışında yeterli bir haklı nedeni veya ekonomik gerekçesi bulunmayan bir uygulama, işlem veya iş sonucunda, ÇHC menşeli soruşturma konusu eşya ithalatında yürürlükte bulunan dampinge karşı önlemi etkisiz kıldığı sonucuna ulaşılmıştır.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 xml:space="preserve">(2) Ticaret Bakanlığı İthalat Genel Müdürlüğü tarafından yürütülerek tamamlanan soruşturma sonucunda ulaşılan bilgi ve bulguları içeren Bilgilendirme Raporu </w:t>
                  </w:r>
                  <w:proofErr w:type="spellStart"/>
                  <w:r w:rsidRPr="00241EC4">
                    <w:rPr>
                      <w:rFonts w:ascii="Times New Roman" w:eastAsia="Times New Roman" w:hAnsi="Times New Roman" w:cs="Times New Roman"/>
                      <w:sz w:val="18"/>
                      <w:szCs w:val="18"/>
                      <w:lang w:eastAsia="tr-TR"/>
                    </w:rPr>
                    <w:t>Ek’te</w:t>
                  </w:r>
                  <w:proofErr w:type="spellEnd"/>
                  <w:r w:rsidRPr="00241EC4">
                    <w:rPr>
                      <w:rFonts w:ascii="Times New Roman" w:eastAsia="Times New Roman" w:hAnsi="Times New Roman" w:cs="Times New Roman"/>
                      <w:sz w:val="18"/>
                      <w:szCs w:val="18"/>
                      <w:lang w:eastAsia="tr-TR"/>
                    </w:rPr>
                    <w:t xml:space="preserve"> yer almaktadır.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 xml:space="preserve">(3) Bu çerçevede, soruşturma neticesinde ulaşılan tespitleri değerlendiren Kurul tarafından alınan karar ile Güney Kore ve Makedonya menşeli ve/veya çıkışlı olarak yapılan soruşturma konusu eşya ithalatının, İthalatta Haksız Rekabetin Önlenmesine ilişkin Tebliğ (Tebliğ No: 2016/53) uyarınca ÇHC menşeli ithalatta yürürlükte bulunan </w:t>
                  </w:r>
                  <w:proofErr w:type="gramStart"/>
                  <w:r w:rsidRPr="00241EC4">
                    <w:rPr>
                      <w:rFonts w:ascii="Times New Roman" w:eastAsia="Times New Roman" w:hAnsi="Times New Roman" w:cs="Times New Roman"/>
                      <w:sz w:val="18"/>
                      <w:szCs w:val="18"/>
                      <w:lang w:eastAsia="tr-TR"/>
                    </w:rPr>
                    <w:t>dampinge</w:t>
                  </w:r>
                  <w:proofErr w:type="gramEnd"/>
                  <w:r w:rsidRPr="00241EC4">
                    <w:rPr>
                      <w:rFonts w:ascii="Times New Roman" w:eastAsia="Times New Roman" w:hAnsi="Times New Roman" w:cs="Times New Roman"/>
                      <w:sz w:val="18"/>
                      <w:szCs w:val="18"/>
                      <w:lang w:eastAsia="tr-TR"/>
                    </w:rPr>
                    <w:t xml:space="preserve"> karşı önleme tabi olmasına karar verilmiştir.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Uygulama</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MADDE 6 – </w:t>
                  </w:r>
                  <w:r w:rsidRPr="00241EC4">
                    <w:rPr>
                      <w:rFonts w:ascii="Times New Roman" w:eastAsia="Times New Roman" w:hAnsi="Times New Roman" w:cs="Times New Roman"/>
                      <w:sz w:val="18"/>
                      <w:szCs w:val="18"/>
                      <w:lang w:eastAsia="tr-TR"/>
                    </w:rPr>
                    <w:t xml:space="preserve">(1) Gümrük idareleri, İthalatta Haksız Rekabetin Önlenmesine ilişkin Tebliğ (Tebliğ No: 2016/53)’de GTP/GTİP ve tanımı belirtilen eşyanın, diğer mevzuat hükümleri saklı kalmak kaydıyla, Güney Kore ve Makedonya menşeli ve/veya çıkışlı olarak yapılan serbest dolaşıma giriş rejimi kapsamında ithalatında aşağıda yer alan tabloda belirtilen şekilde </w:t>
                  </w:r>
                  <w:proofErr w:type="gramStart"/>
                  <w:r w:rsidRPr="00241EC4">
                    <w:rPr>
                      <w:rFonts w:ascii="Times New Roman" w:eastAsia="Times New Roman" w:hAnsi="Times New Roman" w:cs="Times New Roman"/>
                      <w:sz w:val="18"/>
                      <w:szCs w:val="18"/>
                      <w:lang w:eastAsia="tr-TR"/>
                    </w:rPr>
                    <w:t>dampinge</w:t>
                  </w:r>
                  <w:proofErr w:type="gramEnd"/>
                  <w:r w:rsidRPr="00241EC4">
                    <w:rPr>
                      <w:rFonts w:ascii="Times New Roman" w:eastAsia="Times New Roman" w:hAnsi="Times New Roman" w:cs="Times New Roman"/>
                      <w:sz w:val="18"/>
                      <w:szCs w:val="18"/>
                      <w:lang w:eastAsia="tr-TR"/>
                    </w:rPr>
                    <w:t xml:space="preserve"> karşı kesin önlemi uygular.</w:t>
                  </w:r>
                </w:p>
                <w:p w:rsidR="00241EC4" w:rsidRPr="00241EC4" w:rsidRDefault="00241EC4" w:rsidP="00241EC4">
                  <w:pPr>
                    <w:spacing w:after="0" w:line="240" w:lineRule="auto"/>
                    <w:jc w:val="center"/>
                    <w:rPr>
                      <w:rFonts w:ascii="Times New Roman" w:eastAsia="Times New Roman" w:hAnsi="Times New Roman" w:cs="Times New Roman"/>
                      <w:sz w:val="19"/>
                      <w:szCs w:val="19"/>
                      <w:lang w:eastAsia="tr-TR"/>
                    </w:rPr>
                  </w:pPr>
                  <w:r w:rsidRPr="00241EC4">
                    <w:rPr>
                      <w:rFonts w:ascii="Times New Roman" w:eastAsia="Times New Roman" w:hAnsi="Times New Roman" w:cs="Times New Roman"/>
                      <w:noProof/>
                      <w:sz w:val="18"/>
                      <w:szCs w:val="18"/>
                      <w:lang w:eastAsia="tr-TR"/>
                    </w:rPr>
                    <w:drawing>
                      <wp:inline distT="0" distB="0" distL="0" distR="0" wp14:anchorId="308A4C5E" wp14:editId="15514745">
                        <wp:extent cx="4134485" cy="2072005"/>
                        <wp:effectExtent l="0" t="0" r="0" b="4445"/>
                        <wp:docPr id="1" name="Resim 1" descr="https://www.resmigazete.gov.tr/eskiler/2021/03/20210327-9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smigazete.gov.tr/eskiler/2021/03/20210327-9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34485" cy="2072005"/>
                                </a:xfrm>
                                <a:prstGeom prst="rect">
                                  <a:avLst/>
                                </a:prstGeom>
                                <a:noFill/>
                                <a:ln>
                                  <a:noFill/>
                                </a:ln>
                              </pic:spPr>
                            </pic:pic>
                          </a:graphicData>
                        </a:graphic>
                      </wp:inline>
                    </w:drawing>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 xml:space="preserve">(2) 7/2/2004 tarihli ve 25366 sayılı Resmî </w:t>
                  </w:r>
                  <w:proofErr w:type="spellStart"/>
                  <w:r w:rsidRPr="00241EC4">
                    <w:rPr>
                      <w:rFonts w:ascii="Times New Roman" w:eastAsia="Times New Roman" w:hAnsi="Times New Roman" w:cs="Times New Roman"/>
                      <w:sz w:val="18"/>
                      <w:szCs w:val="18"/>
                      <w:lang w:eastAsia="tr-TR"/>
                    </w:rPr>
                    <w:t>Gazete'de</w:t>
                  </w:r>
                  <w:proofErr w:type="spellEnd"/>
                  <w:r w:rsidRPr="00241EC4">
                    <w:rPr>
                      <w:rFonts w:ascii="Times New Roman" w:eastAsia="Times New Roman" w:hAnsi="Times New Roman" w:cs="Times New Roman"/>
                      <w:sz w:val="18"/>
                      <w:szCs w:val="18"/>
                      <w:lang w:eastAsia="tr-TR"/>
                    </w:rPr>
                    <w:t xml:space="preserve"> yayımlanan İthalatta Haksız Rekabetin Önlenmesine İlişkin Tebliğ (Tebliğ No: 2004/3) ile yürürlüğe konulan ve İthalatta Haksız Rekabetin Önlenmesine İlişkin Tebliğ (Tebliğ No: 2016/53) ile son nihai gözden geçirme soruşturması tamamlanan ÇHC menşeli ithalata ilişkin </w:t>
                  </w:r>
                  <w:proofErr w:type="gramStart"/>
                  <w:r w:rsidRPr="00241EC4">
                    <w:rPr>
                      <w:rFonts w:ascii="Times New Roman" w:eastAsia="Times New Roman" w:hAnsi="Times New Roman" w:cs="Times New Roman"/>
                      <w:sz w:val="18"/>
                      <w:szCs w:val="18"/>
                      <w:lang w:eastAsia="tr-TR"/>
                    </w:rPr>
                    <w:t>dampinge</w:t>
                  </w:r>
                  <w:proofErr w:type="gramEnd"/>
                  <w:r w:rsidRPr="00241EC4">
                    <w:rPr>
                      <w:rFonts w:ascii="Times New Roman" w:eastAsia="Times New Roman" w:hAnsi="Times New Roman" w:cs="Times New Roman"/>
                      <w:sz w:val="18"/>
                      <w:szCs w:val="18"/>
                      <w:lang w:eastAsia="tr-TR"/>
                    </w:rPr>
                    <w:t xml:space="preserve"> karşı önlemde İthalatta Haksız Rekabetin Önlenmesi Hakkında Mevzuat hükümleri çerçevesinde yapılacak değişiklikler bu önlem için de geçerlidir.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 xml:space="preserve">(3) Bilgilendirme Raporunda soruşturma konusu eşya ile ilgili açıklamalar genel içerikli olup uygulamaya esas olan yürürlükteki </w:t>
                  </w:r>
                  <w:proofErr w:type="spellStart"/>
                  <w:r w:rsidRPr="00241EC4">
                    <w:rPr>
                      <w:rFonts w:ascii="Times New Roman" w:eastAsia="Times New Roman" w:hAnsi="Times New Roman" w:cs="Times New Roman"/>
                      <w:sz w:val="18"/>
                      <w:szCs w:val="18"/>
                      <w:lang w:eastAsia="tr-TR"/>
                    </w:rPr>
                    <w:t>TGTC’de</w:t>
                  </w:r>
                  <w:proofErr w:type="spellEnd"/>
                  <w:r w:rsidRPr="00241EC4">
                    <w:rPr>
                      <w:rFonts w:ascii="Times New Roman" w:eastAsia="Times New Roman" w:hAnsi="Times New Roman" w:cs="Times New Roman"/>
                      <w:sz w:val="18"/>
                      <w:szCs w:val="18"/>
                      <w:lang w:eastAsia="tr-TR"/>
                    </w:rPr>
                    <w:t xml:space="preserve"> yer alan tarife pozisyonu ve eşya tanımıdır.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 xml:space="preserve">(4) Önleme tabi eşyanın yürürlükteki </w:t>
                  </w:r>
                  <w:proofErr w:type="spellStart"/>
                  <w:r w:rsidRPr="00241EC4">
                    <w:rPr>
                      <w:rFonts w:ascii="Times New Roman" w:eastAsia="Times New Roman" w:hAnsi="Times New Roman" w:cs="Times New Roman"/>
                      <w:sz w:val="18"/>
                      <w:szCs w:val="18"/>
                      <w:lang w:eastAsia="tr-TR"/>
                    </w:rPr>
                    <w:t>TGTC’de</w:t>
                  </w:r>
                  <w:proofErr w:type="spellEnd"/>
                  <w:r w:rsidRPr="00241EC4">
                    <w:rPr>
                      <w:rFonts w:ascii="Times New Roman" w:eastAsia="Times New Roman" w:hAnsi="Times New Roman" w:cs="Times New Roman"/>
                      <w:sz w:val="18"/>
                      <w:szCs w:val="18"/>
                      <w:lang w:eastAsia="tr-TR"/>
                    </w:rPr>
                    <w:t xml:space="preserve"> yer alan tarife pozisyonunda ve/veya tanımında yapılacak değişiklikler bu Tebliğ hükümlerinin uygulanmasına engel teşkil etmez.</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Yürürlük</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MADDE 7 – </w:t>
                  </w:r>
                  <w:r w:rsidRPr="00241EC4">
                    <w:rPr>
                      <w:rFonts w:ascii="Times New Roman" w:eastAsia="Times New Roman" w:hAnsi="Times New Roman" w:cs="Times New Roman"/>
                      <w:sz w:val="18"/>
                      <w:szCs w:val="18"/>
                      <w:lang w:eastAsia="tr-TR"/>
                    </w:rPr>
                    <w:t>(1) Bu Tebliğ yayımı tarihinde yürürlüğe girer.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Yürütme</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b/>
                      <w:bCs/>
                      <w:sz w:val="18"/>
                      <w:szCs w:val="18"/>
                      <w:lang w:eastAsia="tr-TR"/>
                    </w:rPr>
                    <w:t>MADDE 8 – </w:t>
                  </w:r>
                  <w:r w:rsidRPr="00241EC4">
                    <w:rPr>
                      <w:rFonts w:ascii="Times New Roman" w:eastAsia="Times New Roman" w:hAnsi="Times New Roman" w:cs="Times New Roman"/>
                      <w:sz w:val="18"/>
                      <w:szCs w:val="18"/>
                      <w:lang w:eastAsia="tr-TR"/>
                    </w:rPr>
                    <w:t>(1) Bu Tebliğ hükümlerini Ticaret Bakanı yürütür.</w:t>
                  </w:r>
                </w:p>
                <w:p w:rsidR="00241EC4" w:rsidRPr="00241EC4" w:rsidRDefault="00241EC4" w:rsidP="00241EC4">
                  <w:pPr>
                    <w:spacing w:after="0" w:line="240" w:lineRule="atLeast"/>
                    <w:ind w:firstLine="566"/>
                    <w:jc w:val="both"/>
                    <w:rPr>
                      <w:rFonts w:ascii="Times New Roman" w:eastAsia="Times New Roman" w:hAnsi="Times New Roman" w:cs="Times New Roman"/>
                      <w:sz w:val="19"/>
                      <w:szCs w:val="19"/>
                      <w:lang w:eastAsia="tr-TR"/>
                    </w:rPr>
                  </w:pPr>
                  <w:r w:rsidRPr="00241EC4">
                    <w:rPr>
                      <w:rFonts w:ascii="Times New Roman" w:eastAsia="Times New Roman" w:hAnsi="Times New Roman" w:cs="Times New Roman"/>
                      <w:sz w:val="18"/>
                      <w:szCs w:val="18"/>
                      <w:lang w:eastAsia="tr-TR"/>
                    </w:rPr>
                    <w:t> </w:t>
                  </w:r>
                </w:p>
                <w:p w:rsidR="00241EC4" w:rsidRPr="00241EC4" w:rsidRDefault="00241EC4" w:rsidP="00241EC4">
                  <w:pPr>
                    <w:spacing w:after="0" w:line="240" w:lineRule="atLeast"/>
                    <w:jc w:val="both"/>
                    <w:rPr>
                      <w:rFonts w:ascii="Times New Roman" w:eastAsia="Times New Roman" w:hAnsi="Times New Roman" w:cs="Times New Roman"/>
                      <w:sz w:val="19"/>
                      <w:szCs w:val="19"/>
                      <w:lang w:eastAsia="tr-TR"/>
                    </w:rPr>
                  </w:pPr>
                  <w:hyperlink r:id="rId5" w:history="1">
                    <w:r w:rsidRPr="00241EC4">
                      <w:rPr>
                        <w:rFonts w:ascii="Times New Roman" w:eastAsia="Times New Roman" w:hAnsi="Times New Roman" w:cs="Times New Roman"/>
                        <w:b/>
                        <w:bCs/>
                        <w:color w:val="800080"/>
                        <w:sz w:val="18"/>
                        <w:szCs w:val="18"/>
                        <w:u w:val="single"/>
                        <w:lang w:eastAsia="tr-TR"/>
                      </w:rPr>
                      <w:t>Eki için tıklayınız.</w:t>
                    </w:r>
                  </w:hyperlink>
                </w:p>
                <w:p w:rsidR="00241EC4" w:rsidRPr="00241EC4" w:rsidRDefault="00241EC4" w:rsidP="00241EC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41EC4">
                    <w:rPr>
                      <w:rFonts w:ascii="Arial" w:eastAsia="Times New Roman" w:hAnsi="Arial" w:cs="Arial"/>
                      <w:b/>
                      <w:bCs/>
                      <w:color w:val="000080"/>
                      <w:sz w:val="18"/>
                      <w:szCs w:val="18"/>
                      <w:lang w:eastAsia="tr-TR"/>
                    </w:rPr>
                    <w:t> </w:t>
                  </w:r>
                </w:p>
              </w:tc>
            </w:tr>
          </w:tbl>
          <w:p w:rsidR="00241EC4" w:rsidRPr="00241EC4" w:rsidRDefault="00241EC4" w:rsidP="00241EC4">
            <w:pPr>
              <w:spacing w:after="0" w:line="240" w:lineRule="auto"/>
              <w:rPr>
                <w:rFonts w:ascii="Times New Roman" w:eastAsia="Times New Roman" w:hAnsi="Times New Roman" w:cs="Times New Roman"/>
                <w:sz w:val="24"/>
                <w:szCs w:val="24"/>
                <w:lang w:eastAsia="tr-TR"/>
              </w:rPr>
            </w:pPr>
          </w:p>
        </w:tc>
      </w:tr>
    </w:tbl>
    <w:p w:rsidR="00241EC4" w:rsidRPr="00241EC4" w:rsidRDefault="00241EC4" w:rsidP="00241EC4">
      <w:pPr>
        <w:spacing w:after="0" w:line="240" w:lineRule="auto"/>
        <w:jc w:val="center"/>
        <w:rPr>
          <w:rFonts w:ascii="Times New Roman" w:eastAsia="Times New Roman" w:hAnsi="Times New Roman" w:cs="Times New Roman"/>
          <w:color w:val="000000"/>
          <w:sz w:val="27"/>
          <w:szCs w:val="27"/>
          <w:lang w:eastAsia="tr-TR"/>
        </w:rPr>
      </w:pPr>
      <w:r w:rsidRPr="00241EC4">
        <w:rPr>
          <w:rFonts w:ascii="Times New Roman" w:eastAsia="Times New Roman" w:hAnsi="Times New Roman" w:cs="Times New Roman"/>
          <w:color w:val="000000"/>
          <w:sz w:val="27"/>
          <w:szCs w:val="27"/>
          <w:lang w:eastAsia="tr-TR"/>
        </w:rPr>
        <w:t> </w:t>
      </w:r>
    </w:p>
    <w:p w:rsidR="007E1CB2" w:rsidRDefault="007E1CB2">
      <w:bookmarkStart w:id="0" w:name="_GoBack"/>
      <w:bookmarkEnd w:id="0"/>
    </w:p>
    <w:sectPr w:rsidR="007E1C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91"/>
    <w:rsid w:val="00094591"/>
    <w:rsid w:val="00241EC4"/>
    <w:rsid w:val="007E1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32B92-5980-4AA1-AF99-631DC307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6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1/03/20210327-9-1.pdf"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810</Words>
  <Characters>4621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2021-03-28T10:32:00Z</dcterms:created>
  <dcterms:modified xsi:type="dcterms:W3CDTF">2021-03-28T10:32:00Z</dcterms:modified>
</cp:coreProperties>
</file>