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6B0AC4" w:rsidTr="006B0AC4">
        <w:tc>
          <w:tcPr>
            <w:tcW w:w="5000" w:type="pct"/>
            <w:hideMark/>
          </w:tcPr>
          <w:tbl>
            <w:tblPr>
              <w:tblW w:w="5000" w:type="pct"/>
              <w:tblCellMar>
                <w:left w:w="0" w:type="dxa"/>
                <w:right w:w="0" w:type="dxa"/>
              </w:tblCellMar>
              <w:tblLook w:val="04A0" w:firstRow="1" w:lastRow="0" w:firstColumn="1" w:lastColumn="0" w:noHBand="0" w:noVBand="1"/>
            </w:tblPr>
            <w:tblGrid>
              <w:gridCol w:w="9072"/>
            </w:tblGrid>
            <w:tr w:rsidR="006B0AC4">
              <w:tc>
                <w:tcPr>
                  <w:tcW w:w="5000" w:type="pct"/>
                  <w:vAlign w:val="center"/>
                  <w:hideMark/>
                </w:tcPr>
                <w:p w:rsidR="006B0AC4" w:rsidRDefault="006B0AC4">
                  <w:pPr>
                    <w:rPr>
                      <w:rFonts w:ascii="Arial" w:hAnsi="Arial" w:cs="Arial"/>
                      <w:color w:val="000000"/>
                      <w:sz w:val="20"/>
                      <w:szCs w:val="20"/>
                      <w:lang w:eastAsia="tr-TR"/>
                    </w:rPr>
                  </w:pPr>
                  <w:r>
                    <w:rPr>
                      <w:rFonts w:ascii="Raleway" w:hAnsi="Raleway"/>
                      <w:color w:val="000000"/>
                      <w:sz w:val="24"/>
                      <w:szCs w:val="24"/>
                      <w:lang w:eastAsia="tr-TR"/>
                    </w:rPr>
                    <w:t>GENELGE 2019-2 İhracatta Ceza Kararları</w:t>
                  </w:r>
                </w:p>
                <w:p w:rsidR="006B0AC4" w:rsidRDefault="006B0AC4">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pict>
                      <v:rect id="_x0000_i1025" style="width:966.75pt;height:.75pt" o:hralign="center" o:hrstd="t" o:hr="t" fillcolor="#a0a0a0" stroked="f"/>
                    </w:pict>
                  </w:r>
                </w:p>
                <w:p w:rsidR="006B0AC4" w:rsidRDefault="006B0AC4">
                  <w:pPr>
                    <w:spacing w:after="150"/>
                    <w:jc w:val="center"/>
                    <w:rPr>
                      <w:rFonts w:ascii="Arial" w:hAnsi="Arial" w:cs="Arial"/>
                      <w:color w:val="000000"/>
                      <w:sz w:val="20"/>
                      <w:szCs w:val="20"/>
                      <w:lang w:eastAsia="tr-TR"/>
                    </w:rPr>
                  </w:pPr>
                  <w:r>
                    <w:rPr>
                      <w:rFonts w:ascii="Arial" w:hAnsi="Arial" w:cs="Arial"/>
                      <w:b/>
                      <w:bCs/>
                      <w:color w:val="000000"/>
                      <w:sz w:val="20"/>
                      <w:szCs w:val="20"/>
                      <w:lang w:eastAsia="tr-TR"/>
                    </w:rPr>
                    <w:t>T.C.</w:t>
                  </w:r>
                </w:p>
                <w:p w:rsidR="006B0AC4" w:rsidRDefault="006B0AC4">
                  <w:pPr>
                    <w:spacing w:after="150"/>
                    <w:jc w:val="center"/>
                    <w:rPr>
                      <w:rFonts w:ascii="Arial" w:hAnsi="Arial" w:cs="Arial"/>
                      <w:color w:val="000000"/>
                      <w:sz w:val="20"/>
                      <w:szCs w:val="20"/>
                      <w:lang w:eastAsia="tr-TR"/>
                    </w:rPr>
                  </w:pPr>
                  <w:r>
                    <w:rPr>
                      <w:rFonts w:ascii="Arial" w:hAnsi="Arial" w:cs="Arial"/>
                      <w:b/>
                      <w:bCs/>
                      <w:color w:val="000000"/>
                      <w:sz w:val="20"/>
                      <w:szCs w:val="20"/>
                      <w:lang w:eastAsia="tr-TR"/>
                    </w:rPr>
                    <w:t>TİCARET BAKANLIĞI</w:t>
                  </w:r>
                </w:p>
                <w:p w:rsidR="006B0AC4" w:rsidRDefault="006B0AC4">
                  <w:pPr>
                    <w:spacing w:after="150"/>
                    <w:jc w:val="center"/>
                    <w:rPr>
                      <w:rFonts w:ascii="Arial" w:hAnsi="Arial" w:cs="Arial"/>
                      <w:color w:val="000000"/>
                      <w:sz w:val="20"/>
                      <w:szCs w:val="20"/>
                      <w:lang w:eastAsia="tr-TR"/>
                    </w:rPr>
                  </w:pPr>
                  <w:r>
                    <w:rPr>
                      <w:rFonts w:ascii="Arial" w:hAnsi="Arial" w:cs="Arial"/>
                      <w:b/>
                      <w:bCs/>
                      <w:color w:val="000000"/>
                      <w:sz w:val="20"/>
                      <w:szCs w:val="20"/>
                      <w:lang w:eastAsia="tr-TR"/>
                    </w:rPr>
                    <w:t>Gümrükler Genel Müdürlüğü</w:t>
                  </w:r>
                </w:p>
                <w:p w:rsidR="006B0AC4" w:rsidRDefault="006B0AC4">
                  <w:pPr>
                    <w:spacing w:after="150"/>
                    <w:rPr>
                      <w:rFonts w:ascii="Arial" w:hAnsi="Arial" w:cs="Arial"/>
                      <w:color w:val="000000"/>
                      <w:sz w:val="20"/>
                      <w:szCs w:val="20"/>
                      <w:lang w:eastAsia="tr-TR"/>
                    </w:rPr>
                  </w:pPr>
                  <w:proofErr w:type="gramStart"/>
                  <w:r>
                    <w:rPr>
                      <w:rFonts w:ascii="Arial" w:hAnsi="Arial" w:cs="Arial"/>
                      <w:b/>
                      <w:bCs/>
                      <w:color w:val="000000"/>
                      <w:sz w:val="20"/>
                      <w:szCs w:val="20"/>
                      <w:lang w:eastAsia="tr-TR"/>
                    </w:rPr>
                    <w:t>Sayı     :</w:t>
                  </w:r>
                  <w:r>
                    <w:rPr>
                      <w:rFonts w:ascii="Arial" w:hAnsi="Arial" w:cs="Arial"/>
                      <w:color w:val="000000"/>
                      <w:sz w:val="20"/>
                      <w:szCs w:val="20"/>
                      <w:lang w:eastAsia="tr-TR"/>
                    </w:rPr>
                    <w:t>52707093</w:t>
                  </w:r>
                  <w:proofErr w:type="gramEnd"/>
                  <w:r>
                    <w:rPr>
                      <w:rFonts w:ascii="Arial" w:hAnsi="Arial" w:cs="Arial"/>
                      <w:color w:val="000000"/>
                      <w:sz w:val="20"/>
                      <w:szCs w:val="20"/>
                      <w:lang w:eastAsia="tr-TR"/>
                    </w:rPr>
                    <w:t>-010.06.01</w:t>
                  </w:r>
                </w:p>
                <w:p w:rsidR="006B0AC4" w:rsidRDefault="006B0AC4">
                  <w:pPr>
                    <w:spacing w:after="150"/>
                    <w:rPr>
                      <w:rFonts w:ascii="Arial" w:hAnsi="Arial" w:cs="Arial"/>
                      <w:color w:val="000000"/>
                      <w:sz w:val="20"/>
                      <w:szCs w:val="20"/>
                      <w:lang w:eastAsia="tr-TR"/>
                    </w:rPr>
                  </w:pPr>
                  <w:proofErr w:type="gramStart"/>
                  <w:r>
                    <w:rPr>
                      <w:rFonts w:ascii="Arial" w:hAnsi="Arial" w:cs="Arial"/>
                      <w:b/>
                      <w:bCs/>
                      <w:color w:val="000000"/>
                      <w:sz w:val="20"/>
                      <w:szCs w:val="20"/>
                      <w:lang w:eastAsia="tr-TR"/>
                    </w:rPr>
                    <w:t>Konu   :</w:t>
                  </w:r>
                  <w:r>
                    <w:rPr>
                      <w:rFonts w:ascii="Arial" w:hAnsi="Arial" w:cs="Arial"/>
                      <w:color w:val="000000"/>
                      <w:sz w:val="20"/>
                      <w:szCs w:val="20"/>
                      <w:lang w:eastAsia="tr-TR"/>
                    </w:rPr>
                    <w:t>İhracatta</w:t>
                  </w:r>
                  <w:proofErr w:type="gramEnd"/>
                  <w:r>
                    <w:rPr>
                      <w:rFonts w:ascii="Arial" w:hAnsi="Arial" w:cs="Arial"/>
                      <w:color w:val="000000"/>
                      <w:sz w:val="20"/>
                      <w:szCs w:val="20"/>
                      <w:lang w:eastAsia="tr-TR"/>
                    </w:rPr>
                    <w:t xml:space="preserve"> Ceza Kararları</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 </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 </w:t>
                  </w:r>
                </w:p>
                <w:p w:rsidR="006B0AC4" w:rsidRDefault="006B0AC4">
                  <w:pPr>
                    <w:spacing w:after="150"/>
                    <w:jc w:val="center"/>
                    <w:rPr>
                      <w:rFonts w:ascii="Arial" w:hAnsi="Arial" w:cs="Arial"/>
                      <w:color w:val="000000"/>
                      <w:sz w:val="20"/>
                      <w:szCs w:val="20"/>
                      <w:lang w:eastAsia="tr-TR"/>
                    </w:rPr>
                  </w:pPr>
                  <w:r>
                    <w:rPr>
                      <w:rFonts w:ascii="Arial" w:hAnsi="Arial" w:cs="Arial"/>
                      <w:b/>
                      <w:bCs/>
                      <w:color w:val="000000"/>
                      <w:sz w:val="20"/>
                      <w:szCs w:val="20"/>
                      <w:lang w:eastAsia="tr-TR"/>
                    </w:rPr>
                    <w:t>GENELGE</w:t>
                  </w:r>
                </w:p>
                <w:p w:rsidR="006B0AC4" w:rsidRDefault="006B0AC4">
                  <w:pPr>
                    <w:spacing w:after="150"/>
                    <w:jc w:val="center"/>
                    <w:rPr>
                      <w:rFonts w:ascii="Arial" w:hAnsi="Arial" w:cs="Arial"/>
                      <w:color w:val="000000"/>
                      <w:sz w:val="20"/>
                      <w:szCs w:val="20"/>
                      <w:lang w:eastAsia="tr-TR"/>
                    </w:rPr>
                  </w:pPr>
                  <w:r>
                    <w:rPr>
                      <w:rFonts w:ascii="Arial" w:hAnsi="Arial" w:cs="Arial"/>
                      <w:b/>
                      <w:bCs/>
                      <w:color w:val="000000"/>
                      <w:sz w:val="20"/>
                      <w:szCs w:val="20"/>
                      <w:lang w:eastAsia="tr-TR"/>
                    </w:rPr>
                    <w:t>(2019/2)</w:t>
                  </w:r>
                </w:p>
                <w:p w:rsidR="006B0AC4" w:rsidRDefault="006B0AC4">
                  <w:pPr>
                    <w:spacing w:after="150"/>
                    <w:jc w:val="center"/>
                    <w:rPr>
                      <w:rFonts w:ascii="Arial" w:hAnsi="Arial" w:cs="Arial"/>
                      <w:color w:val="000000"/>
                      <w:sz w:val="20"/>
                      <w:szCs w:val="20"/>
                      <w:lang w:eastAsia="tr-TR"/>
                    </w:rPr>
                  </w:pPr>
                  <w:r>
                    <w:rPr>
                      <w:rFonts w:ascii="Arial" w:hAnsi="Arial" w:cs="Arial"/>
                      <w:color w:val="000000"/>
                      <w:sz w:val="20"/>
                      <w:szCs w:val="20"/>
                      <w:lang w:eastAsia="tr-TR"/>
                    </w:rPr>
                    <w:t> </w:t>
                  </w:r>
                </w:p>
                <w:p w:rsidR="006B0AC4" w:rsidRDefault="006B0AC4">
                  <w:pPr>
                    <w:spacing w:after="150"/>
                    <w:jc w:val="center"/>
                    <w:rPr>
                      <w:rFonts w:ascii="Arial" w:hAnsi="Arial" w:cs="Arial"/>
                      <w:color w:val="000000"/>
                      <w:sz w:val="20"/>
                      <w:szCs w:val="20"/>
                      <w:lang w:eastAsia="tr-TR"/>
                    </w:rPr>
                  </w:pPr>
                  <w:r>
                    <w:rPr>
                      <w:rFonts w:ascii="Arial" w:hAnsi="Arial" w:cs="Arial"/>
                      <w:color w:val="000000"/>
                      <w:sz w:val="20"/>
                      <w:szCs w:val="20"/>
                      <w:lang w:eastAsia="tr-TR"/>
                    </w:rPr>
                    <w:t> </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Bakanlığımıza intikal eden olaylardan, Gümrük Yönetmeliğine göre ihracat işlemlerinde Gümrük Kanununun 241 inci maddesinde belirtilen usulsüzlük cezasını müstelzim fiiller arasında yer verilen beyannamede düzeltme ve ihracat işlemlerinin, ceza kararı düzenlenmeden devam ettirilmesine ve tamamlanmasına yönelik yükümlü taleplerinin bulunduğu anlaşılmaktadır.</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Gümrük beyannamesinde düzeltme işlemlerini düzenleyen 4458 sayılı Gümrük Kanunu'nun 63 üncü maddesi ile Gümrük Yönetmeliği'nin 121 ve 193 üncü maddelerinde, ihracat beyannamelerinde yapılacak düzeltme işleminin, varsa uygulanması gereken ceza kararı düzenlenmeden yapılmamasını öngören kısıtlayıcı hüküm bulunmamaktadır. Keza, anılan Yönetmeliğin "Ceza Kararlarının Verilmesi Tebliği ve Kayda Geçirilmesi" başlıklı 580 inci maddesinde de, ceza kararının beyannamede düzeltme yapılmadan düzenlenmesini öngören ve/veya düzeltme işleminin yapılmasını, cezanın ödenmesi ön şartına bağlayan hüküm bulunmamaktadır. Bu sebeple, ihracat eşyasının bekletilmeden şevki ve gümrük işlemlerinin tamamlanması amacıyla;</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1) Yükümlü veya temsilcisinin ihracat beyannamesinde düzeltme yapılmasına yönelik dilekçesinin uygun görülmesi kaydıyla veya idare tarafından yapılan tespite binaen gerekli görülmesi halinde düzeltme işlemlerinin gerçekleştirilmesi,</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2) Eş zamanlı olarak ceza kararının düzenlenmesi yönünde işlemlere devam edilmesi,</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3) Beyanname ve ihracat işlemlerinin tamamlanmasının, ceza kararı düzenlenmesi ve cezanın tahsilatı şartına bağlanmaması,</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4) Ceza kararı düzenlenmesi ve ödenmesinin beyanname ve ihracat işlemleri ile aynı anda tamamlanamaması halinde, ceza kararı düzenleme, tebliğ ve tahsili işlemlerinin bilahare tamamlanması,</w:t>
                  </w:r>
                </w:p>
                <w:p w:rsidR="006B0AC4" w:rsidRDefault="006B0AC4">
                  <w:pPr>
                    <w:spacing w:after="150"/>
                    <w:rPr>
                      <w:rFonts w:ascii="Arial" w:hAnsi="Arial" w:cs="Arial"/>
                      <w:color w:val="000000"/>
                      <w:sz w:val="20"/>
                      <w:szCs w:val="20"/>
                      <w:lang w:eastAsia="tr-TR"/>
                    </w:rPr>
                  </w:pPr>
                  <w:proofErr w:type="gramStart"/>
                  <w:r>
                    <w:rPr>
                      <w:rFonts w:ascii="Arial" w:hAnsi="Arial" w:cs="Arial"/>
                      <w:color w:val="000000"/>
                      <w:sz w:val="20"/>
                      <w:szCs w:val="20"/>
                      <w:lang w:eastAsia="tr-TR"/>
                    </w:rPr>
                    <w:t>şeklinde</w:t>
                  </w:r>
                  <w:proofErr w:type="gramEnd"/>
                  <w:r>
                    <w:rPr>
                      <w:rFonts w:ascii="Arial" w:hAnsi="Arial" w:cs="Arial"/>
                      <w:color w:val="000000"/>
                      <w:sz w:val="20"/>
                      <w:szCs w:val="20"/>
                      <w:lang w:eastAsia="tr-TR"/>
                    </w:rPr>
                    <w:t xml:space="preserve"> işlem yapılması uygun bulunmuştur.</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Bilgi ve gereğini rica ederim.</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 </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 </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Rıza Tuna TURAGAY</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Bakan a.</w:t>
                  </w:r>
                </w:p>
                <w:p w:rsidR="006B0AC4" w:rsidRDefault="006B0AC4">
                  <w:pPr>
                    <w:spacing w:after="150"/>
                    <w:rPr>
                      <w:rFonts w:ascii="Arial" w:hAnsi="Arial" w:cs="Arial"/>
                      <w:color w:val="000000"/>
                      <w:sz w:val="20"/>
                      <w:szCs w:val="20"/>
                      <w:lang w:eastAsia="tr-TR"/>
                    </w:rPr>
                  </w:pPr>
                  <w:r>
                    <w:rPr>
                      <w:rFonts w:ascii="Arial" w:hAnsi="Arial" w:cs="Arial"/>
                      <w:color w:val="000000"/>
                      <w:sz w:val="20"/>
                      <w:szCs w:val="20"/>
                      <w:lang w:eastAsia="tr-TR"/>
                    </w:rPr>
                    <w:t>Bakan Yardımcısı</w:t>
                  </w:r>
                </w:p>
              </w:tc>
            </w:tr>
          </w:tbl>
          <w:p w:rsidR="006B0AC4" w:rsidRDefault="006B0AC4">
            <w:pPr>
              <w:rPr>
                <w:rFonts w:ascii="Times New Roman" w:eastAsia="Times New Roman" w:hAnsi="Times New Roman"/>
                <w:sz w:val="20"/>
                <w:szCs w:val="20"/>
                <w:lang w:eastAsia="tr-TR"/>
              </w:rPr>
            </w:pPr>
          </w:p>
        </w:tc>
      </w:tr>
    </w:tbl>
    <w:p w:rsidR="006B0AC4" w:rsidRDefault="006B0AC4" w:rsidP="006B0AC4">
      <w:pPr>
        <w:jc w:val="center"/>
        <w:rPr>
          <w:rFonts w:ascii="Raleway" w:hAnsi="Raleway"/>
          <w:color w:val="333333"/>
          <w:sz w:val="21"/>
          <w:szCs w:val="21"/>
          <w:lang w:eastAsia="tr-TR"/>
        </w:rPr>
      </w:pPr>
    </w:p>
    <w:p w:rsidR="00D63E5F" w:rsidRDefault="00D63E5F">
      <w:bookmarkStart w:id="0" w:name="_GoBack"/>
      <w:bookmarkEnd w:id="0"/>
    </w:p>
    <w:sectPr w:rsidR="00D63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Raleway">
    <w:altName w:val="Times New Roman"/>
    <w:charset w:val="00"/>
    <w:family w:val="auto"/>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6B0AC4"/>
    <w:rsid w:val="00C5053D"/>
    <w:rsid w:val="00D63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687E9-D91B-4A72-8E7B-47756CFC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C4"/>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2019-02-07T05:40:00Z</dcterms:created>
  <dcterms:modified xsi:type="dcterms:W3CDTF">2019-02-07T05:40:00Z</dcterms:modified>
</cp:coreProperties>
</file>