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138E9" w:rsidRPr="009138E9" w:rsidTr="009138E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138E9" w:rsidRPr="009138E9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38E9" w:rsidRPr="009138E9" w:rsidRDefault="009138E9" w:rsidP="009138E9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9138E9">
                    <w:rPr>
                      <w:rFonts w:ascii="Raleway" w:hAnsi="Raleway" w:cs="Helvetica"/>
                      <w:color w:val="000000"/>
                    </w:rPr>
                    <w:t>Genelge 2018-23 İhracatta Kıymet Araştırması gümrük işlem süreçleri ile ihracatçılar birliği ve maliyeye bildirim durumları</w:t>
                  </w:r>
                </w:p>
                <w:p w:rsidR="009138E9" w:rsidRPr="009138E9" w:rsidRDefault="00600464" w:rsidP="009138E9">
                  <w:pPr>
                    <w:spacing w:before="300" w:after="300"/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pict>
                      <v:rect id="_x0000_i1025" style="width:0;height:0" o:hralign="center" o:hrstd="t" o:hr="t" fillcolor="#a0a0a0" stroked="f"/>
                    </w:pict>
                  </w:r>
                </w:p>
                <w:p w:rsidR="009138E9" w:rsidRPr="009138E9" w:rsidRDefault="009138E9" w:rsidP="009138E9">
                  <w:pPr>
                    <w:spacing w:after="150"/>
                    <w:jc w:val="center"/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9138E9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>T.C.</w:t>
                  </w:r>
                </w:p>
                <w:p w:rsidR="009138E9" w:rsidRPr="009138E9" w:rsidRDefault="009138E9" w:rsidP="009138E9">
                  <w:pPr>
                    <w:spacing w:after="150"/>
                    <w:jc w:val="center"/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9138E9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>TİCARET BAKANLIĞI</w:t>
                  </w:r>
                </w:p>
                <w:p w:rsidR="009138E9" w:rsidRPr="009138E9" w:rsidRDefault="009138E9" w:rsidP="009138E9">
                  <w:pPr>
                    <w:spacing w:after="150"/>
                    <w:jc w:val="center"/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9138E9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>Gümrükler Genel Müdürlüğü</w:t>
                  </w:r>
                </w:p>
                <w:p w:rsidR="009138E9" w:rsidRPr="009138E9" w:rsidRDefault="009138E9" w:rsidP="009138E9">
                  <w:pPr>
                    <w:spacing w:after="150"/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proofErr w:type="gramStart"/>
                  <w:r w:rsidRPr="009138E9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>Sayı     :</w:t>
                  </w:r>
                  <w:r w:rsidRPr="009138E9">
                    <w:rPr>
                      <w:rFonts w:cs="Times New Roman"/>
                      <w:color w:val="000000"/>
                      <w:sz w:val="20"/>
                      <w:szCs w:val="20"/>
                    </w:rPr>
                    <w:t>85593407</w:t>
                  </w:r>
                  <w:proofErr w:type="gramEnd"/>
                  <w:r w:rsidRPr="009138E9">
                    <w:rPr>
                      <w:rFonts w:cs="Times New Roman"/>
                      <w:color w:val="000000"/>
                      <w:sz w:val="20"/>
                      <w:szCs w:val="20"/>
                    </w:rPr>
                    <w:t>-010.06.01</w:t>
                  </w:r>
                </w:p>
                <w:p w:rsidR="009138E9" w:rsidRPr="009138E9" w:rsidRDefault="009138E9" w:rsidP="009138E9">
                  <w:pPr>
                    <w:spacing w:after="150"/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proofErr w:type="gramStart"/>
                  <w:r w:rsidRPr="009138E9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>Konu   :</w:t>
                  </w:r>
                  <w:r w:rsidRPr="009138E9">
                    <w:rPr>
                      <w:rFonts w:cs="Times New Roman"/>
                      <w:color w:val="000000"/>
                      <w:sz w:val="20"/>
                      <w:szCs w:val="20"/>
                    </w:rPr>
                    <w:t>İhracatta</w:t>
                  </w:r>
                  <w:proofErr w:type="gramEnd"/>
                  <w:r w:rsidRPr="009138E9">
                    <w:rPr>
                      <w:rFonts w:cs="Times New Roman"/>
                      <w:color w:val="000000"/>
                      <w:sz w:val="20"/>
                      <w:szCs w:val="20"/>
                    </w:rPr>
                    <w:t xml:space="preserve"> Kıymet Araştırması</w:t>
                  </w:r>
                </w:p>
                <w:p w:rsidR="009138E9" w:rsidRPr="009138E9" w:rsidRDefault="009138E9" w:rsidP="009138E9">
                  <w:pPr>
                    <w:spacing w:after="150"/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9138E9">
                    <w:rPr>
                      <w:rFonts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  <w:p w:rsidR="009138E9" w:rsidRPr="009138E9" w:rsidRDefault="009138E9" w:rsidP="009138E9">
                  <w:pPr>
                    <w:spacing w:after="150"/>
                    <w:jc w:val="center"/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9138E9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>GENELGE</w:t>
                  </w:r>
                </w:p>
                <w:p w:rsidR="009138E9" w:rsidRPr="009138E9" w:rsidRDefault="009138E9" w:rsidP="009138E9">
                  <w:pPr>
                    <w:spacing w:after="150"/>
                    <w:jc w:val="center"/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9138E9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>2018/23</w:t>
                  </w:r>
                </w:p>
                <w:p w:rsidR="009138E9" w:rsidRPr="009138E9" w:rsidRDefault="009138E9" w:rsidP="009138E9">
                  <w:pPr>
                    <w:spacing w:after="150"/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9138E9">
                    <w:rPr>
                      <w:rFonts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  <w:p w:rsidR="009138E9" w:rsidRPr="009138E9" w:rsidRDefault="009138E9" w:rsidP="009138E9">
                  <w:pPr>
                    <w:spacing w:after="150"/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9138E9">
                    <w:rPr>
                      <w:rFonts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  <w:p w:rsidR="009138E9" w:rsidRPr="009138E9" w:rsidRDefault="009138E9" w:rsidP="009138E9">
                  <w:pPr>
                    <w:spacing w:after="150"/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proofErr w:type="gramStart"/>
                  <w:r w:rsidRPr="009138E9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>İlgi      :</w:t>
                  </w:r>
                  <w:r w:rsidRPr="009138E9">
                    <w:rPr>
                      <w:rFonts w:cs="Times New Roman"/>
                      <w:color w:val="000000"/>
                      <w:sz w:val="20"/>
                      <w:szCs w:val="20"/>
                    </w:rPr>
                    <w:t>14</w:t>
                  </w:r>
                  <w:proofErr w:type="gramEnd"/>
                  <w:r w:rsidRPr="009138E9">
                    <w:rPr>
                      <w:rFonts w:cs="Times New Roman"/>
                      <w:color w:val="000000"/>
                      <w:sz w:val="20"/>
                      <w:szCs w:val="20"/>
                    </w:rPr>
                    <w:t>.10.2016 tarihli ve 2016/14 sayılı Genelge.</w:t>
                  </w:r>
                </w:p>
                <w:p w:rsidR="009138E9" w:rsidRPr="009138E9" w:rsidRDefault="009138E9" w:rsidP="009138E9">
                  <w:pPr>
                    <w:spacing w:after="150"/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9138E9">
                    <w:rPr>
                      <w:rFonts w:cs="Times New Roman"/>
                      <w:color w:val="000000"/>
                      <w:sz w:val="20"/>
                      <w:szCs w:val="20"/>
                    </w:rPr>
                    <w:t>İhracatta kıymet araştırması ile ilgili olarak yapılacak işlemlerin;</w:t>
                  </w:r>
                </w:p>
                <w:p w:rsidR="009138E9" w:rsidRPr="00600464" w:rsidRDefault="009138E9" w:rsidP="009138E9">
                  <w:pPr>
                    <w:spacing w:after="150"/>
                    <w:rPr>
                      <w:rFonts w:ascii="Arial" w:hAnsi="Arial"/>
                      <w:color w:val="FF0000"/>
                      <w:sz w:val="20"/>
                      <w:szCs w:val="20"/>
                    </w:rPr>
                  </w:pPr>
                  <w:r w:rsidRPr="009138E9">
                    <w:rPr>
                      <w:rFonts w:cs="Times New Roman"/>
                      <w:color w:val="000000"/>
                      <w:sz w:val="20"/>
                      <w:szCs w:val="20"/>
                    </w:rPr>
                    <w:t>1 - a) Gümrük Müdürlüğünce, ihracat kıymetinin doğruluğunun araştırılması gerektiğine karar verilmesi halinde; beyan edilen kıymetin</w:t>
                  </w:r>
                  <w:r w:rsidRPr="00600464">
                    <w:rPr>
                      <w:rFonts w:cs="Times New Roman"/>
                      <w:color w:val="FF0000"/>
                      <w:sz w:val="20"/>
                      <w:szCs w:val="20"/>
                    </w:rPr>
                    <w:t xml:space="preserve">, Bakanlığımız elektronik sistemleri ve veri ambarından faydalanılarak tespit edilen, beyanname tarihinden önceki 12 aylık süre içerisinde işlem gören aynı veya benzer ticari tanımlı eşyaların ortalama ihracat kıymetinin artı veya eksi %20 </w:t>
                  </w:r>
                  <w:proofErr w:type="gramStart"/>
                  <w:r w:rsidRPr="00600464">
                    <w:rPr>
                      <w:rFonts w:cs="Times New Roman"/>
                      <w:color w:val="FF0000"/>
                      <w:sz w:val="20"/>
                      <w:szCs w:val="20"/>
                    </w:rPr>
                    <w:t>aralığında</w:t>
                  </w:r>
                  <w:proofErr w:type="gramEnd"/>
                  <w:r w:rsidRPr="00600464">
                    <w:rPr>
                      <w:rFonts w:cs="Times New Roman"/>
                      <w:color w:val="FF0000"/>
                      <w:sz w:val="20"/>
                      <w:szCs w:val="20"/>
                    </w:rPr>
                    <w:t xml:space="preserve"> olması halinde ihracat eşyası için kıymet araştırmasına gidilmemesi,</w:t>
                  </w:r>
                </w:p>
                <w:p w:rsidR="009138E9" w:rsidRPr="009138E9" w:rsidRDefault="009138E9" w:rsidP="009138E9">
                  <w:pPr>
                    <w:spacing w:after="150"/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9138E9">
                    <w:rPr>
                      <w:rFonts w:cs="Times New Roman"/>
                      <w:color w:val="000000"/>
                      <w:sz w:val="20"/>
                      <w:szCs w:val="20"/>
                    </w:rPr>
                    <w:t xml:space="preserve">b) Beyan edilen ihracat kıymetinin, aynı veya benzer ticari tanımlı eşyaların ortalama kıymetinin artı veya eksi %20 </w:t>
                  </w:r>
                  <w:proofErr w:type="gramStart"/>
                  <w:r w:rsidRPr="009138E9">
                    <w:rPr>
                      <w:rFonts w:cs="Times New Roman"/>
                      <w:color w:val="000000"/>
                      <w:sz w:val="20"/>
                      <w:szCs w:val="20"/>
                    </w:rPr>
                    <w:t>aralığının</w:t>
                  </w:r>
                  <w:proofErr w:type="gramEnd"/>
                  <w:r w:rsidRPr="009138E9">
                    <w:rPr>
                      <w:rFonts w:cs="Times New Roman"/>
                      <w:color w:val="000000"/>
                      <w:sz w:val="20"/>
                      <w:szCs w:val="20"/>
                    </w:rPr>
                    <w:t xml:space="preserve"> dışında bulunması halinde, </w:t>
                  </w:r>
                  <w:r w:rsidRPr="00600464">
                    <w:rPr>
                      <w:rFonts w:cs="Times New Roman"/>
                      <w:color w:val="FF0000"/>
                      <w:sz w:val="20"/>
                      <w:szCs w:val="20"/>
                    </w:rPr>
                    <w:t>konunun bağlı bulunulan Gümrük ve Ticaret Bölge Müdürlüğüne iletilmesi,</w:t>
                  </w:r>
                </w:p>
                <w:p w:rsidR="009138E9" w:rsidRPr="009138E9" w:rsidRDefault="009138E9" w:rsidP="009138E9">
                  <w:pPr>
                    <w:spacing w:after="150"/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9138E9">
                    <w:rPr>
                      <w:rFonts w:cs="Times New Roman"/>
                      <w:color w:val="000000"/>
                      <w:sz w:val="20"/>
                      <w:szCs w:val="20"/>
                    </w:rPr>
                    <w:t>c</w:t>
                  </w:r>
                  <w:r w:rsidRPr="00600464">
                    <w:rPr>
                      <w:rFonts w:cs="Times New Roman"/>
                      <w:color w:val="000000"/>
                      <w:sz w:val="20"/>
                      <w:szCs w:val="20"/>
                      <w:highlight w:val="cyan"/>
                    </w:rPr>
                    <w:t xml:space="preserve">) </w:t>
                  </w:r>
                  <w:r w:rsidRPr="00600464">
                    <w:rPr>
                      <w:rFonts w:cs="Times New Roman"/>
                      <w:color w:val="FF0000"/>
                      <w:sz w:val="20"/>
                      <w:szCs w:val="20"/>
                      <w:highlight w:val="cyan"/>
                    </w:rPr>
                    <w:t>Kıymet araştırmasına dair yapılacak işlemlerin, ihracatın gerçekleşmesine veya beyannamenin kapatılmasına mani bir husus olarak değerlendirilmemesi,</w:t>
                  </w:r>
                </w:p>
                <w:p w:rsidR="009138E9" w:rsidRPr="009138E9" w:rsidRDefault="009138E9" w:rsidP="009138E9">
                  <w:pPr>
                    <w:spacing w:after="150"/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9138E9">
                    <w:rPr>
                      <w:rFonts w:cs="Times New Roman"/>
                      <w:color w:val="000000"/>
                      <w:sz w:val="20"/>
                      <w:szCs w:val="20"/>
                    </w:rPr>
                    <w:t>2- Gümrük ve Ticaret Bölge Müdürlüğünce yapılacak incelemede;</w:t>
                  </w:r>
                </w:p>
                <w:p w:rsidR="009138E9" w:rsidRPr="009138E9" w:rsidRDefault="009138E9" w:rsidP="009138E9">
                  <w:pPr>
                    <w:spacing w:after="150"/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9138E9">
                    <w:rPr>
                      <w:rFonts w:cs="Times New Roman"/>
                      <w:color w:val="000000"/>
                      <w:sz w:val="20"/>
                      <w:szCs w:val="20"/>
                    </w:rPr>
                    <w:t>a) Bölge Müdürlüğü tarafından, eşya kıymeti hakkında görüş verebileceği değerlendirilen kurum veya kuruluşlar nezdinde yapılan araştırma sonucunda, olumlu görüş alınması halinde yükümlü tarafından beyan edilen kıymet dikkate alınarak işlemlerin sonuçlandırılması,</w:t>
                  </w:r>
                </w:p>
                <w:p w:rsidR="009138E9" w:rsidRPr="009138E9" w:rsidRDefault="009138E9" w:rsidP="009138E9">
                  <w:pPr>
                    <w:spacing w:after="150"/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9138E9">
                    <w:rPr>
                      <w:rFonts w:cs="Times New Roman"/>
                      <w:color w:val="000000"/>
                      <w:sz w:val="20"/>
                      <w:szCs w:val="20"/>
                    </w:rPr>
                    <w:t xml:space="preserve">b) Yapılacak değerlendirme sonucunda, kıymetin kabul edilmeyecek ölçüde yüksek veya düşük olduğuna ilişkin kanaat oluşması ve gerekli görülmesi halinde, Bölge Müdürlüğünce sonuçlandırılamayan kıymet araştırması taleplerinin </w:t>
                  </w:r>
                  <w:r w:rsidRPr="00600464">
                    <w:rPr>
                      <w:rFonts w:cs="Times New Roman"/>
                      <w:color w:val="FF0000"/>
                      <w:sz w:val="20"/>
                      <w:szCs w:val="20"/>
                    </w:rPr>
                    <w:t xml:space="preserve">Gümrükler Genel Müdürlüğü'ne intikal ettirilmesi, </w:t>
                  </w:r>
                  <w:r w:rsidRPr="009138E9">
                    <w:rPr>
                      <w:rFonts w:cs="Times New Roman"/>
                      <w:color w:val="000000"/>
                      <w:sz w:val="20"/>
                      <w:szCs w:val="20"/>
                    </w:rPr>
                    <w:t xml:space="preserve">Gümrükler Genel Müdürlüğünce yapılan inceleme sonrasında mali mevzuat açısından incelenmek üzere </w:t>
                  </w:r>
                  <w:r w:rsidRPr="00600464">
                    <w:rPr>
                      <w:rFonts w:cs="Times New Roman"/>
                      <w:color w:val="FF0000"/>
                      <w:sz w:val="20"/>
                      <w:szCs w:val="20"/>
                    </w:rPr>
                    <w:t>Hazine ve Maliye Bakanlığı'na gönderilmesi,</w:t>
                  </w:r>
                </w:p>
                <w:p w:rsidR="009138E9" w:rsidRPr="009138E9" w:rsidRDefault="009138E9" w:rsidP="009138E9">
                  <w:pPr>
                    <w:spacing w:after="150"/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9138E9">
                    <w:rPr>
                      <w:rFonts w:cs="Times New Roman"/>
                      <w:color w:val="000000"/>
                      <w:sz w:val="20"/>
                      <w:szCs w:val="20"/>
                    </w:rPr>
                    <w:t xml:space="preserve">c) Hazine ve Maliye Bakanlığınca yapılan incelemede ihraç eşyasının beyan edilen gümrük kıymetinin ihracatçının mali kayıtlarına uygun olmadığı yönünde tespit yapılması halinde, söz konusu tespite göre gümrük işlemlerinin sonuçlandırılması ve ilgili </w:t>
                  </w:r>
                  <w:r w:rsidRPr="00600464">
                    <w:rPr>
                      <w:rFonts w:cs="Times New Roman"/>
                      <w:color w:val="FF0000"/>
                      <w:sz w:val="20"/>
                      <w:szCs w:val="20"/>
                    </w:rPr>
                    <w:t>ihracatçı birliğine bilgi verilmesi,</w:t>
                  </w:r>
                </w:p>
                <w:p w:rsidR="009138E9" w:rsidRPr="009138E9" w:rsidRDefault="009138E9" w:rsidP="009138E9">
                  <w:pPr>
                    <w:spacing w:after="150"/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9138E9">
                    <w:rPr>
                      <w:rFonts w:cs="Times New Roman"/>
                      <w:color w:val="000000"/>
                      <w:sz w:val="20"/>
                      <w:szCs w:val="20"/>
                    </w:rPr>
                    <w:t xml:space="preserve">3- </w:t>
                  </w:r>
                  <w:r w:rsidRPr="00600464">
                    <w:rPr>
                      <w:rFonts w:cs="Times New Roman"/>
                      <w:color w:val="FF0000"/>
                      <w:sz w:val="20"/>
                      <w:szCs w:val="20"/>
                      <w:highlight w:val="cyan"/>
                    </w:rPr>
                    <w:t>Yetkilendirilmiş Yükümlü Sertifikası sahibi kişiler adına tescil edilmiş ihracat beyannameleri ile ilgili kıymet araştırmasına gidilmemesi,</w:t>
                  </w:r>
                </w:p>
                <w:p w:rsidR="009138E9" w:rsidRPr="009138E9" w:rsidRDefault="009138E9" w:rsidP="009138E9">
                  <w:pPr>
                    <w:spacing w:after="150"/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9138E9">
                    <w:rPr>
                      <w:rFonts w:cs="Times New Roman"/>
                      <w:color w:val="000000"/>
                      <w:sz w:val="20"/>
                      <w:szCs w:val="20"/>
                    </w:rPr>
                    <w:t xml:space="preserve">4- Kıymet araştırmasına başlanılması halinde; somut bir sonuca ulaşılmadan </w:t>
                  </w:r>
                  <w:r w:rsidRPr="00600464">
                    <w:rPr>
                      <w:rFonts w:cs="Times New Roman"/>
                      <w:color w:val="FF0000"/>
                      <w:sz w:val="20"/>
                      <w:szCs w:val="20"/>
                    </w:rPr>
                    <w:t xml:space="preserve">mükellefin bağlı bulunduğu vergi dairelerine bildirimde bulunulmaması </w:t>
                  </w:r>
                  <w:r w:rsidRPr="009138E9">
                    <w:rPr>
                      <w:rFonts w:cs="Times New Roman"/>
                      <w:color w:val="000000"/>
                      <w:sz w:val="20"/>
                      <w:szCs w:val="20"/>
                    </w:rPr>
                    <w:t>şeklinde tekemmülü uygun bulunmuştur.</w:t>
                  </w:r>
                </w:p>
                <w:p w:rsidR="009138E9" w:rsidRPr="009138E9" w:rsidRDefault="009138E9" w:rsidP="009138E9">
                  <w:pPr>
                    <w:spacing w:after="150"/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9138E9">
                    <w:rPr>
                      <w:rFonts w:cs="Times New Roman"/>
                      <w:color w:val="000000"/>
                      <w:sz w:val="20"/>
                      <w:szCs w:val="20"/>
                    </w:rPr>
                    <w:t>5- İlgide kayıtlı Genelge yürürlükten kaldırılmıştır.</w:t>
                  </w:r>
                  <w:bookmarkStart w:id="0" w:name="_GoBack"/>
                  <w:bookmarkEnd w:id="0"/>
                </w:p>
                <w:p w:rsidR="009138E9" w:rsidRPr="009138E9" w:rsidRDefault="009138E9" w:rsidP="009138E9">
                  <w:pPr>
                    <w:spacing w:after="150"/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9138E9">
                    <w:rPr>
                      <w:rFonts w:cs="Times New Roman"/>
                      <w:color w:val="000000"/>
                      <w:sz w:val="20"/>
                      <w:szCs w:val="20"/>
                    </w:rPr>
                    <w:t>Bilgi ve gereğini rica ederim.</w:t>
                  </w:r>
                </w:p>
                <w:p w:rsidR="009138E9" w:rsidRPr="009138E9" w:rsidRDefault="009138E9" w:rsidP="009138E9">
                  <w:pPr>
                    <w:spacing w:after="150"/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9138E9">
                    <w:rPr>
                      <w:rFonts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  <w:p w:rsidR="009138E9" w:rsidRPr="009138E9" w:rsidRDefault="009138E9" w:rsidP="009138E9">
                  <w:pPr>
                    <w:spacing w:after="150"/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9138E9">
                    <w:rPr>
                      <w:rFonts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  <w:p w:rsidR="009138E9" w:rsidRPr="009138E9" w:rsidRDefault="009138E9" w:rsidP="009138E9">
                  <w:pPr>
                    <w:spacing w:after="150"/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9138E9">
                    <w:rPr>
                      <w:rFonts w:cs="Times New Roman"/>
                      <w:color w:val="000000"/>
                      <w:sz w:val="20"/>
                      <w:szCs w:val="20"/>
                    </w:rPr>
                    <w:t xml:space="preserve">Ruhsar PEKCAN </w:t>
                  </w:r>
                </w:p>
                <w:p w:rsidR="009138E9" w:rsidRPr="009138E9" w:rsidRDefault="009138E9" w:rsidP="009138E9">
                  <w:pPr>
                    <w:spacing w:after="150"/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9138E9">
                    <w:rPr>
                      <w:rFonts w:cs="Times New Roman"/>
                      <w:color w:val="000000"/>
                      <w:sz w:val="20"/>
                      <w:szCs w:val="20"/>
                    </w:rPr>
                    <w:t>Bakan</w:t>
                  </w:r>
                </w:p>
                <w:p w:rsidR="009138E9" w:rsidRPr="009138E9" w:rsidRDefault="009138E9" w:rsidP="009138E9">
                  <w:pPr>
                    <w:spacing w:after="150"/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9138E9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>DAĞITIM:</w:t>
                  </w:r>
                  <w:r w:rsidRPr="009138E9">
                    <w:rPr>
                      <w:rFonts w:cs="Times New Roman"/>
                      <w:color w:val="000000"/>
                      <w:sz w:val="20"/>
                      <w:szCs w:val="20"/>
                    </w:rPr>
                    <w:t xml:space="preserve"> Tüm Gümrük ve Ticaret Bölge Müdürlükleri</w:t>
                  </w:r>
                </w:p>
              </w:tc>
            </w:tr>
          </w:tbl>
          <w:p w:rsidR="009138E9" w:rsidRPr="009138E9" w:rsidRDefault="009138E9" w:rsidP="009138E9">
            <w:pPr>
              <w:rPr>
                <w:rFonts w:ascii="Raleway" w:hAnsi="Raleway" w:cs="Helvetica"/>
                <w:color w:val="333333"/>
                <w:sz w:val="21"/>
                <w:szCs w:val="21"/>
              </w:rPr>
            </w:pPr>
          </w:p>
        </w:tc>
      </w:tr>
    </w:tbl>
    <w:p w:rsidR="009138E9" w:rsidRPr="009138E9" w:rsidRDefault="009138E9" w:rsidP="009138E9">
      <w:pPr>
        <w:jc w:val="center"/>
        <w:rPr>
          <w:rFonts w:ascii="Raleway" w:hAnsi="Raleway" w:cs="Helvetica"/>
          <w:color w:val="333333"/>
          <w:sz w:val="21"/>
          <w:szCs w:val="21"/>
        </w:rPr>
      </w:pPr>
    </w:p>
    <w:p w:rsidR="00F961DB" w:rsidRDefault="00F961DB"/>
    <w:sectPr w:rsidR="00F96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Raleway">
    <w:altName w:val="Times New Roman"/>
    <w:charset w:val="00"/>
    <w:family w:val="auto"/>
    <w:pitch w:val="default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2F"/>
    <w:rsid w:val="001F7462"/>
    <w:rsid w:val="00211B55"/>
    <w:rsid w:val="002A566B"/>
    <w:rsid w:val="00600464"/>
    <w:rsid w:val="008C572F"/>
    <w:rsid w:val="009138E9"/>
    <w:rsid w:val="00DD2361"/>
    <w:rsid w:val="00E12406"/>
    <w:rsid w:val="00F9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868DD09-06F1-47EA-9465-FE423975F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B55"/>
    <w:rPr>
      <w:rFonts w:cs="Arial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1"/>
    <w:qFormat/>
    <w:rsid w:val="00211B55"/>
    <w:pPr>
      <w:keepNext/>
      <w:widowControl w:val="0"/>
      <w:jc w:val="both"/>
      <w:outlineLvl w:val="0"/>
    </w:pPr>
    <w:rPr>
      <w:rFonts w:cs="Times New Roman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211B55"/>
    <w:pPr>
      <w:keepNext/>
      <w:widowControl w:val="0"/>
      <w:jc w:val="center"/>
      <w:outlineLvl w:val="1"/>
    </w:pPr>
    <w:rPr>
      <w:rFonts w:cs="Times New Roman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211B55"/>
    <w:pPr>
      <w:keepNext/>
      <w:tabs>
        <w:tab w:val="left" w:pos="567"/>
      </w:tabs>
      <w:ind w:firstLine="284"/>
      <w:jc w:val="center"/>
      <w:outlineLvl w:val="2"/>
    </w:pPr>
    <w:rPr>
      <w:rFonts w:cs="Times New Roman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211B55"/>
    <w:pPr>
      <w:keepNext/>
      <w:widowControl w:val="0"/>
      <w:jc w:val="center"/>
      <w:outlineLvl w:val="3"/>
    </w:pPr>
    <w:rPr>
      <w:rFonts w:cs="Times New Roman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211B55"/>
    <w:pPr>
      <w:keepNext/>
      <w:tabs>
        <w:tab w:val="left" w:pos="567"/>
      </w:tabs>
      <w:ind w:firstLine="284"/>
      <w:jc w:val="center"/>
      <w:outlineLvl w:val="4"/>
    </w:pPr>
    <w:rPr>
      <w:rFonts w:cs="Times New Roman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211B55"/>
    <w:pPr>
      <w:keepNext/>
      <w:ind w:firstLine="284"/>
      <w:jc w:val="center"/>
      <w:outlineLvl w:val="5"/>
    </w:pPr>
    <w:rPr>
      <w:rFonts w:cs="Times New Roman"/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211B55"/>
    <w:pPr>
      <w:keepNext/>
      <w:tabs>
        <w:tab w:val="left" w:pos="4536"/>
      </w:tabs>
      <w:outlineLvl w:val="6"/>
    </w:pPr>
    <w:rPr>
      <w:rFonts w:cs="Times New Roman"/>
    </w:rPr>
  </w:style>
  <w:style w:type="paragraph" w:styleId="Balk8">
    <w:name w:val="heading 8"/>
    <w:basedOn w:val="Normal"/>
    <w:next w:val="Normal"/>
    <w:link w:val="Balk8Char"/>
    <w:qFormat/>
    <w:rsid w:val="00211B55"/>
    <w:pPr>
      <w:keepNext/>
      <w:tabs>
        <w:tab w:val="left" w:pos="567"/>
      </w:tabs>
      <w:ind w:firstLine="284"/>
      <w:jc w:val="center"/>
      <w:outlineLvl w:val="7"/>
    </w:pPr>
    <w:rPr>
      <w:rFonts w:cs="Times New Roman"/>
      <w:b/>
      <w:bCs/>
      <w:sz w:val="28"/>
      <w:szCs w:val="28"/>
    </w:rPr>
  </w:style>
  <w:style w:type="paragraph" w:styleId="Balk9">
    <w:name w:val="heading 9"/>
    <w:basedOn w:val="Normal"/>
    <w:next w:val="Normal"/>
    <w:link w:val="Balk9Char"/>
    <w:qFormat/>
    <w:rsid w:val="00211B55"/>
    <w:pPr>
      <w:keepNext/>
      <w:tabs>
        <w:tab w:val="left" w:pos="567"/>
      </w:tabs>
      <w:outlineLvl w:val="8"/>
    </w:pPr>
    <w:rPr>
      <w:rFonts w:cs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rsid w:val="002A566B"/>
    <w:rPr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E12406"/>
    <w:rPr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E12406"/>
    <w:rPr>
      <w:b/>
      <w:bCs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rsid w:val="00E12406"/>
    <w:rPr>
      <w:b/>
      <w:bCs/>
      <w:sz w:val="28"/>
      <w:szCs w:val="28"/>
      <w:lang w:eastAsia="tr-TR"/>
    </w:rPr>
  </w:style>
  <w:style w:type="character" w:customStyle="1" w:styleId="Balk5Char">
    <w:name w:val="Başlık 5 Char"/>
    <w:basedOn w:val="VarsaylanParagrafYazTipi"/>
    <w:link w:val="Balk5"/>
    <w:rsid w:val="00E12406"/>
    <w:rPr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rsid w:val="00E12406"/>
    <w:rPr>
      <w:b/>
      <w:bCs/>
      <w:sz w:val="22"/>
      <w:szCs w:val="22"/>
      <w:lang w:eastAsia="tr-TR"/>
    </w:rPr>
  </w:style>
  <w:style w:type="character" w:customStyle="1" w:styleId="Balk7Char">
    <w:name w:val="Başlık 7 Char"/>
    <w:basedOn w:val="VarsaylanParagrafYazTipi"/>
    <w:link w:val="Balk7"/>
    <w:rsid w:val="00E12406"/>
    <w:rPr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E12406"/>
    <w:rPr>
      <w:b/>
      <w:bCs/>
      <w:sz w:val="28"/>
      <w:szCs w:val="28"/>
      <w:lang w:eastAsia="tr-TR"/>
    </w:rPr>
  </w:style>
  <w:style w:type="character" w:customStyle="1" w:styleId="Balk9Char">
    <w:name w:val="Başlık 9 Char"/>
    <w:basedOn w:val="VarsaylanParagrafYazTipi"/>
    <w:link w:val="Balk9"/>
    <w:rsid w:val="00E12406"/>
    <w:rPr>
      <w:b/>
      <w:bCs/>
      <w:sz w:val="24"/>
      <w:szCs w:val="24"/>
      <w:lang w:eastAsia="tr-TR"/>
    </w:rPr>
  </w:style>
  <w:style w:type="paragraph" w:styleId="KonuBal">
    <w:name w:val="Title"/>
    <w:basedOn w:val="Normal"/>
    <w:link w:val="KonuBalChar1"/>
    <w:qFormat/>
    <w:rsid w:val="00211B55"/>
    <w:pPr>
      <w:widowControl w:val="0"/>
      <w:jc w:val="center"/>
    </w:pPr>
    <w:rPr>
      <w:rFonts w:cs="Times New Roman"/>
      <w:b/>
      <w:bCs/>
      <w:snapToGrid w:val="0"/>
    </w:rPr>
  </w:style>
  <w:style w:type="character" w:customStyle="1" w:styleId="KonuBalChar">
    <w:name w:val="Konu Başlığı Char"/>
    <w:basedOn w:val="VarsaylanParagrafYazTipi"/>
    <w:rsid w:val="002A566B"/>
    <w:rPr>
      <w:b/>
      <w:bCs/>
      <w:snapToGrid w:val="0"/>
      <w:sz w:val="24"/>
      <w:szCs w:val="24"/>
      <w:lang w:eastAsia="tr-TR"/>
    </w:rPr>
  </w:style>
  <w:style w:type="paragraph" w:customStyle="1" w:styleId="msoheadng7">
    <w:name w:val="msoheadıng7"/>
    <w:basedOn w:val="Normal"/>
    <w:next w:val="Normal"/>
    <w:uiPriority w:val="99"/>
    <w:rsid w:val="00E12406"/>
    <w:pPr>
      <w:keepNext/>
      <w:jc w:val="center"/>
      <w:outlineLvl w:val="6"/>
    </w:pPr>
    <w:rPr>
      <w:b/>
      <w:bCs/>
      <w:sz w:val="20"/>
      <w:szCs w:val="20"/>
    </w:rPr>
  </w:style>
  <w:style w:type="paragraph" w:customStyle="1" w:styleId="msoheadng8">
    <w:name w:val="msoheadıng8"/>
    <w:basedOn w:val="Normal"/>
    <w:next w:val="Normal"/>
    <w:uiPriority w:val="99"/>
    <w:rsid w:val="00E12406"/>
    <w:pPr>
      <w:keepNext/>
      <w:ind w:firstLine="567"/>
      <w:jc w:val="both"/>
      <w:outlineLvl w:val="7"/>
    </w:pPr>
    <w:rPr>
      <w:b/>
      <w:bCs/>
    </w:rPr>
  </w:style>
  <w:style w:type="paragraph" w:customStyle="1" w:styleId="msoheadng9">
    <w:name w:val="msoheadıng9"/>
    <w:basedOn w:val="Normal"/>
    <w:next w:val="Normal"/>
    <w:uiPriority w:val="99"/>
    <w:rsid w:val="00E12406"/>
    <w:pPr>
      <w:spacing w:before="240" w:after="60"/>
      <w:outlineLvl w:val="8"/>
    </w:pPr>
    <w:rPr>
      <w:sz w:val="22"/>
      <w:szCs w:val="22"/>
    </w:rPr>
  </w:style>
  <w:style w:type="paragraph" w:customStyle="1" w:styleId="msottle">
    <w:name w:val="msotıtle"/>
    <w:basedOn w:val="Normal"/>
    <w:uiPriority w:val="99"/>
    <w:rsid w:val="00E12406"/>
    <w:pPr>
      <w:jc w:val="center"/>
    </w:pPr>
    <w:rPr>
      <w:rFonts w:ascii="Arial Narrow" w:hAnsi="Arial Narrow"/>
      <w:b/>
    </w:rPr>
  </w:style>
  <w:style w:type="paragraph" w:customStyle="1" w:styleId="msosubttle">
    <w:name w:val="msosubtıtle"/>
    <w:basedOn w:val="Normal"/>
    <w:uiPriority w:val="99"/>
    <w:rsid w:val="00E12406"/>
    <w:pPr>
      <w:jc w:val="center"/>
    </w:pPr>
    <w:rPr>
      <w:b/>
      <w:bCs/>
    </w:rPr>
  </w:style>
  <w:style w:type="character" w:customStyle="1" w:styleId="Balk1Char1">
    <w:name w:val="Başlık 1 Char1"/>
    <w:basedOn w:val="VarsaylanParagrafYazTipi"/>
    <w:link w:val="Balk1"/>
    <w:locked/>
    <w:rsid w:val="00E12406"/>
    <w:rPr>
      <w:b/>
      <w:bCs/>
      <w:kern w:val="32"/>
      <w:sz w:val="32"/>
      <w:szCs w:val="32"/>
      <w:lang w:eastAsia="tr-TR"/>
    </w:rPr>
  </w:style>
  <w:style w:type="character" w:customStyle="1" w:styleId="KonuBalChar1">
    <w:name w:val="Konu Başlığı Char1"/>
    <w:basedOn w:val="VarsaylanParagrafYazTipi"/>
    <w:link w:val="KonuBal"/>
    <w:locked/>
    <w:rsid w:val="00E12406"/>
    <w:rPr>
      <w:b/>
      <w:bCs/>
      <w:snapToGrid w:val="0"/>
      <w:sz w:val="24"/>
      <w:szCs w:val="24"/>
      <w:lang w:eastAsia="tr-TR"/>
    </w:rPr>
  </w:style>
  <w:style w:type="paragraph" w:styleId="Altyaz">
    <w:name w:val="Subtitle"/>
    <w:aliases w:val=" Char,Char"/>
    <w:basedOn w:val="Normal"/>
    <w:link w:val="AltyazChar"/>
    <w:uiPriority w:val="11"/>
    <w:qFormat/>
    <w:rsid w:val="00E1240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tyazChar">
    <w:name w:val="Altyazı Char"/>
    <w:aliases w:val=" Char Char,Char Char"/>
    <w:basedOn w:val="VarsaylanParagrafYazTipi"/>
    <w:link w:val="Altyaz"/>
    <w:uiPriority w:val="11"/>
    <w:rsid w:val="00E12406"/>
    <w:rPr>
      <w:rFonts w:asciiTheme="majorHAnsi" w:eastAsiaTheme="majorEastAsia" w:hAnsiTheme="majorHAnsi" w:cstheme="majorBidi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12406"/>
    <w:rPr>
      <w:b/>
      <w:bCs/>
    </w:rPr>
  </w:style>
  <w:style w:type="paragraph" w:styleId="AralkYok">
    <w:name w:val="No Spacing"/>
    <w:uiPriority w:val="1"/>
    <w:qFormat/>
    <w:rsid w:val="00E12406"/>
    <w:rPr>
      <w:rFonts w:eastAsia="Calibri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1240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7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Önal YILMAZ2</dc:creator>
  <cp:keywords/>
  <dc:description/>
  <cp:lastModifiedBy>Önal YILMAZ – ASSET GÜMRÜK MÜŞAVİRLİĞİ / İSTANBUL</cp:lastModifiedBy>
  <cp:revision>4</cp:revision>
  <dcterms:created xsi:type="dcterms:W3CDTF">2019-01-04T05:43:00Z</dcterms:created>
  <dcterms:modified xsi:type="dcterms:W3CDTF">2019-01-04T05:47:00Z</dcterms:modified>
</cp:coreProperties>
</file>