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76497D" w:rsidRPr="0076497D" w:rsidTr="0076497D">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6497D" w:rsidRPr="0076497D">
              <w:trPr>
                <w:trHeight w:val="317"/>
                <w:jc w:val="center"/>
              </w:trPr>
              <w:tc>
                <w:tcPr>
                  <w:tcW w:w="2931" w:type="dxa"/>
                  <w:tcBorders>
                    <w:top w:val="nil"/>
                    <w:left w:val="nil"/>
                    <w:bottom w:val="single" w:sz="4" w:space="0" w:color="660066"/>
                    <w:right w:val="nil"/>
                  </w:tcBorders>
                  <w:vAlign w:val="center"/>
                  <w:hideMark/>
                </w:tcPr>
                <w:p w:rsidR="0076497D" w:rsidRPr="0076497D" w:rsidRDefault="0076497D" w:rsidP="0076497D">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76497D">
                    <w:rPr>
                      <w:rFonts w:ascii="Arial" w:eastAsia="Times New Roman" w:hAnsi="Arial" w:cs="Arial"/>
                      <w:sz w:val="16"/>
                      <w:szCs w:val="16"/>
                      <w:lang w:eastAsia="tr-TR"/>
                    </w:rPr>
                    <w:t>12 Nisan 2019 CUMA</w:t>
                  </w:r>
                </w:p>
              </w:tc>
              <w:tc>
                <w:tcPr>
                  <w:tcW w:w="2931" w:type="dxa"/>
                  <w:tcBorders>
                    <w:top w:val="nil"/>
                    <w:left w:val="nil"/>
                    <w:bottom w:val="single" w:sz="4" w:space="0" w:color="660066"/>
                    <w:right w:val="nil"/>
                  </w:tcBorders>
                  <w:vAlign w:val="center"/>
                  <w:hideMark/>
                </w:tcPr>
                <w:p w:rsidR="0076497D" w:rsidRPr="0076497D" w:rsidRDefault="0076497D" w:rsidP="0076497D">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76497D">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76497D" w:rsidRPr="0076497D" w:rsidRDefault="0076497D" w:rsidP="0076497D">
                  <w:pPr>
                    <w:spacing w:before="100" w:beforeAutospacing="1" w:after="100" w:afterAutospacing="1" w:line="240" w:lineRule="auto"/>
                    <w:jc w:val="right"/>
                    <w:rPr>
                      <w:rFonts w:ascii="Arial" w:eastAsia="Times New Roman" w:hAnsi="Arial" w:cs="Arial"/>
                      <w:sz w:val="16"/>
                      <w:szCs w:val="16"/>
                      <w:lang w:eastAsia="tr-TR"/>
                    </w:rPr>
                  </w:pPr>
                  <w:r w:rsidRPr="0076497D">
                    <w:rPr>
                      <w:rFonts w:ascii="Arial" w:eastAsia="Times New Roman" w:hAnsi="Arial" w:cs="Arial"/>
                      <w:sz w:val="16"/>
                      <w:szCs w:val="16"/>
                      <w:lang w:eastAsia="tr-TR"/>
                    </w:rPr>
                    <w:t>Sayı : 30743</w:t>
                  </w:r>
                </w:p>
              </w:tc>
            </w:tr>
            <w:tr w:rsidR="0076497D" w:rsidRPr="0076497D">
              <w:trPr>
                <w:trHeight w:val="480"/>
                <w:jc w:val="center"/>
              </w:trPr>
              <w:tc>
                <w:tcPr>
                  <w:tcW w:w="8789" w:type="dxa"/>
                  <w:gridSpan w:val="3"/>
                  <w:vAlign w:val="center"/>
                  <w:hideMark/>
                </w:tcPr>
                <w:p w:rsidR="0076497D" w:rsidRPr="0076497D" w:rsidRDefault="0076497D" w:rsidP="0076497D">
                  <w:pPr>
                    <w:spacing w:before="100" w:beforeAutospacing="1" w:after="100" w:afterAutospacing="1" w:line="240" w:lineRule="auto"/>
                    <w:jc w:val="center"/>
                    <w:rPr>
                      <w:rFonts w:ascii="Arial" w:eastAsia="Times New Roman" w:hAnsi="Arial" w:cs="Arial"/>
                      <w:b/>
                      <w:color w:val="000080"/>
                      <w:sz w:val="18"/>
                      <w:szCs w:val="18"/>
                      <w:lang w:eastAsia="tr-TR"/>
                    </w:rPr>
                  </w:pPr>
                  <w:r w:rsidRPr="0076497D">
                    <w:rPr>
                      <w:rFonts w:ascii="Arial" w:eastAsia="Times New Roman" w:hAnsi="Arial" w:cs="Arial"/>
                      <w:b/>
                      <w:color w:val="000080"/>
                      <w:sz w:val="18"/>
                      <w:szCs w:val="18"/>
                      <w:lang w:eastAsia="tr-TR"/>
                    </w:rPr>
                    <w:t>TEBLİĞ</w:t>
                  </w:r>
                </w:p>
              </w:tc>
            </w:tr>
            <w:tr w:rsidR="0076497D" w:rsidRPr="0076497D">
              <w:trPr>
                <w:trHeight w:val="480"/>
                <w:jc w:val="center"/>
              </w:trPr>
              <w:tc>
                <w:tcPr>
                  <w:tcW w:w="8789" w:type="dxa"/>
                  <w:gridSpan w:val="3"/>
                  <w:vAlign w:val="center"/>
                </w:tcPr>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76497D">
                    <w:rPr>
                      <w:rFonts w:ascii="Times New Roman" w:eastAsia="Times New Roman" w:hAnsi="Times New Roman" w:cs="Times New Roman"/>
                      <w:sz w:val="18"/>
                      <w:szCs w:val="18"/>
                      <w:u w:val="single"/>
                      <w:lang w:eastAsia="tr-TR"/>
                    </w:rPr>
                    <w:t>Ticaret Bakanlığından:</w:t>
                  </w:r>
                </w:p>
                <w:p w:rsidR="0076497D" w:rsidRPr="0076497D" w:rsidRDefault="0076497D" w:rsidP="0076497D">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76497D">
                    <w:rPr>
                      <w:rFonts w:ascii="Times New Roman" w:eastAsia="Times New Roman" w:hAnsi="Times New Roman" w:cs="Times New Roman"/>
                      <w:b/>
                      <w:bCs/>
                      <w:sz w:val="18"/>
                      <w:szCs w:val="18"/>
                      <w:lang w:eastAsia="tr-TR"/>
                    </w:rPr>
                    <w:t>İTHALATTA HAKSIZ REKABETİN ÖNLENMESİNE</w:t>
                  </w:r>
                </w:p>
                <w:p w:rsidR="0076497D" w:rsidRPr="0076497D" w:rsidRDefault="0076497D" w:rsidP="0076497D">
                  <w:pPr>
                    <w:tabs>
                      <w:tab w:val="left" w:pos="566"/>
                    </w:tabs>
                    <w:spacing w:after="170" w:line="240" w:lineRule="exact"/>
                    <w:jc w:val="center"/>
                    <w:rPr>
                      <w:rFonts w:ascii="Times New Roman" w:eastAsia="Times New Roman" w:hAnsi="Times New Roman" w:cs="Times New Roman"/>
                      <w:b/>
                      <w:bCs/>
                      <w:sz w:val="18"/>
                      <w:szCs w:val="18"/>
                      <w:lang w:eastAsia="tr-TR"/>
                    </w:rPr>
                  </w:pPr>
                  <w:r w:rsidRPr="0076497D">
                    <w:rPr>
                      <w:rFonts w:ascii="Times New Roman" w:eastAsia="Times New Roman" w:hAnsi="Times New Roman" w:cs="Times New Roman"/>
                      <w:b/>
                      <w:bCs/>
                      <w:sz w:val="18"/>
                      <w:szCs w:val="18"/>
                      <w:lang w:eastAsia="tr-TR"/>
                    </w:rPr>
                    <w:t>İLİŞKİN TEBLİĞ (TEBLİĞ NO: 2019/12)</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Amaç ve kapsam</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MADDE 1 –</w:t>
                  </w:r>
                  <w:r w:rsidRPr="0076497D">
                    <w:rPr>
                      <w:rFonts w:ascii="Times New Roman" w:eastAsia="Times New Roman" w:hAnsi="Times New Roman" w:cs="Times New Roman"/>
                      <w:sz w:val="18"/>
                      <w:szCs w:val="18"/>
                      <w:lang w:eastAsia="tr-TR"/>
                    </w:rPr>
                    <w:t xml:space="preserve"> (1) Bu Tebliğin amacı, Kastamonu Entegre Ağaç San. ve Tic. A.Ş., Yıldız Entegre Ağaç San. ve Tic. A.Ş. ve Çamsan Entegre Ağaç San. ve Tic. A.Ş. tarafından gerçekleştirilen ve AGT Ağaç Sanayi ve Ticaret A.Ş., Vezirköprü Orman Ürünleri ve Kâğıt San. A.Ş., Çamsan Ordu Ağaç San. ve Tic. A.Ş., Işık Ahşap Profil Lojistik San. ve Tic. A.Ş. ve Starwood Orman Ürünleri Sanayi A.Ş. tarafından desteklenen başvuruya istinaden Almanya Federal Cumhuriyeti ve Çin Halk Cumhuriyeti menşeli 4411.13.90.00.11, 4411.14.90.00.11, 4411.92.90.00.11 ve 4411.93.90.00.11 gümrük tarife istatistik pozisyonları altında yer alan “laminat parke” ürününe yönelik yürürlükte bulunan dampinge karşı kesin önlemlere ilişkin olarak nihai gözden geçirme soruşturması açılması ve açılan soruşturmanın usul ve esaslarının belirlenmesidir.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Dayanak</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 xml:space="preserve">MADDE 2 – </w:t>
                  </w:r>
                  <w:r w:rsidRPr="0076497D">
                    <w:rPr>
                      <w:rFonts w:ascii="Times New Roman" w:eastAsia="Times New Roman" w:hAnsi="Times New Roman" w:cs="Times New Roman"/>
                      <w:sz w:val="18"/>
                      <w:szCs w:val="18"/>
                      <w:lang w:eastAsia="tr-TR"/>
                    </w:rPr>
                    <w:t>(1)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Yönetmeliğe dayanılarak hazırlanmıştır.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Tanımlar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MADDE 3 –</w:t>
                  </w:r>
                  <w:r w:rsidRPr="0076497D">
                    <w:rPr>
                      <w:rFonts w:ascii="Times New Roman" w:eastAsia="Times New Roman" w:hAnsi="Times New Roman" w:cs="Times New Roman"/>
                      <w:sz w:val="18"/>
                      <w:szCs w:val="18"/>
                      <w:lang w:eastAsia="tr-TR"/>
                    </w:rPr>
                    <w:t xml:space="preserve"> (1) Bu Tebliğde geçen;</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a) Almanya: Almanya Federal Cumhuriyetini,</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b) Bakanlık: Ticaret Bakanlığını,</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c) ÇHC: Çin Halk Cumhuriyetini,</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ç) Genel Müdürlük: Bakanlık İthalat Genel Müdürlüğünü,</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d) GTİP: Gümrük tarife istatistik pozisyonunu,</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e) NGGS: Nihai gözden geçirme soruşturmasını,</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f) TGTC: İstatistik Pozisyonlarına Bölünmüş Türk Gümrük Tarife Cetvelini,</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g) Yönetmelik: 30/10/1999 tarihli ve 23861 sayılı Resmî Gazete’de yayımlanan İthalatta Haksız Rekabetin Önlenmesi Hakkında Yönetmeliği,</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ifade eder.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Önleme tabi ürün</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MADDE 4 –</w:t>
                  </w:r>
                  <w:r w:rsidRPr="0076497D">
                    <w:rPr>
                      <w:rFonts w:ascii="Times New Roman" w:eastAsia="Times New Roman" w:hAnsi="Times New Roman" w:cs="Times New Roman"/>
                      <w:sz w:val="18"/>
                      <w:szCs w:val="18"/>
                      <w:lang w:eastAsia="tr-TR"/>
                    </w:rPr>
                    <w:t xml:space="preserve"> (1) Önleme tabi ürün, 4411.13.90.00.11, 4411.14.90.00.11, 4411.92.90.00.11 ve 4411.93.90.00.11 GTİP’leri altında yer alan “laminat parke”dir.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(2) Bahse konu GTİP’ler yalnızca bilgi amaçlı verilmiş olup bağlayıcı mahiyette değildir.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(3) Önleme tabi ürünün TGTC’de yer alan tarife pozisyonlarında ve/veya eşya tanımlarında yapılacak değişiklikler, bu Tebliğ hükümlerinin uygulanmasına engel teşkil etmez.</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Başvurunun temsil niteliği</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MADDE 5 –</w:t>
                  </w:r>
                  <w:r w:rsidRPr="0076497D">
                    <w:rPr>
                      <w:rFonts w:ascii="Times New Roman" w:eastAsia="Times New Roman" w:hAnsi="Times New Roman" w:cs="Times New Roman"/>
                      <w:sz w:val="18"/>
                      <w:szCs w:val="18"/>
                      <w:lang w:eastAsia="tr-TR"/>
                    </w:rPr>
                    <w:t xml:space="preserve"> (1) Başvuru aşamasında sunulan delillerden, başvuruda bulunan yerli üreticiler Kastamonu Entegre Ağaç San. ve Tic. A.Ş., Yıldız Entegre Ağaç San. ve Tic. A.Ş. ve Çamsan Entegre Ağaç San. ve Tic. A.Ş. ile söz konusu başvuruyu aktif olarak destekleyen AGT Ağaç Sanayi ve Ticaret A.Ş.’nin Yönetmeliğin 18 inci ve 20 nci maddeleri çerçevesinde yerli üretim dalını temsil niteliğini haiz olduğu anlaşılmıştır. Bu kapsamda, adı geçen firmalar bu Tebliğin ilgili bölümlerinde “yerli üretim dalı” olarak anılacaktır.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Mevcut önlem</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 xml:space="preserve">MADDE 6 – </w:t>
                  </w:r>
                  <w:r w:rsidRPr="0076497D">
                    <w:rPr>
                      <w:rFonts w:ascii="Times New Roman" w:eastAsia="Times New Roman" w:hAnsi="Times New Roman" w:cs="Times New Roman"/>
                      <w:sz w:val="18"/>
                      <w:szCs w:val="18"/>
                      <w:lang w:eastAsia="tr-TR"/>
                    </w:rPr>
                    <w:t>(1) ÇHC menşeli 4411.13.90.00.11, 4411.14.90.00.11, 4411.92.90.00.11 ve 4411.93.90.00.11 GTİP’leri altında kayıtlı “laminat parkeler” ürününe yönelik 3/5/2014 tarihli ve 28989 sayılı Resmî Gazete’de yayımlanan İthalatta Haksız Rekabetin Önlenmesine İlişkin Tebliğ (Tebliğ No: 2014/14) kapsamında, metrekare başına 1,60 ABD Doları ila 2,40 ABD Doları olmak üzere firma bazında değişen miktarlarda dampinge karşı kesin önlemler uygulanmaktadır.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(2) Almanya menşeli 4411.13.90.00.11, 4411.14.90.00.11, 4411.92.90.00.11 ve 4411.93.90.00.11 GTİP’leri altında kayıtlı “laminat parkeler” ürününe yönelik 13/6/2015 tarihli ve 29385 sayılı Resmî Gazete’de yayımlanan İthalatta Haksız Rekabetin Önlenmesine İlişkin Tebliğ (Tebliğ No: 2015/21) kapsamında, metrekare başına 0 ABD Doları ila 1,05 ABD Doları arasında firma bazında değişen miktarlarda dampinge karşı kesin önlemler uygulanmaktadır.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Gerekçe</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 xml:space="preserve">MADDE 7 – </w:t>
                  </w:r>
                  <w:r w:rsidRPr="0076497D">
                    <w:rPr>
                      <w:rFonts w:ascii="Times New Roman" w:eastAsia="Times New Roman" w:hAnsi="Times New Roman" w:cs="Times New Roman"/>
                      <w:sz w:val="18"/>
                      <w:szCs w:val="18"/>
                      <w:lang w:eastAsia="tr-TR"/>
                    </w:rPr>
                    <w:t>(1) Yönetmeliğin 35 inci maddesinin ikinci fıkrası hükmünce, 15/8/2018 tarihli ve 30510 mükerrer sayılı Resmî Gazete’de yayımlanan İthalatta Haksız Rekabetin Önlenmesine İlişkin Tebliğ (Tebliğ No: 2018/26) ile ÇHC menşeli mevcut önlemlerin yürürlükten kalkacağı ve ilgili ürünün yerli üreticilerinin mevzuatta öngörülen sürelerde yeterli delillerle desteklenmiş bir başvuru ile NGGS açılması talebinde bulunabilecekleri duyurulmuştur.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(2) Mezkûr ilanı müteakip başvuru sahibi firmalar tarafından ÇHC ve Almanya menşeli bu Tebliğin 4 üncü maddesinin birinci fıkrasında ifade edilen önlem konusu ürüne yönelik iletilen başvurunun incelenmesi neticesinde, uygulanan dampinge karşı önlemlerin yürürlükten kalkması halinde dampingin ve zararın devam etmesi veya yeniden meydana gelmesinin muhtemel olduğuna ilişkin olarak bir NGGS açılmasını haklı kılacak bilgi, belge ve delillerin mevcut olduğu anlaşılmıştır.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Karar ve işlemler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MADDE 8 –</w:t>
                  </w:r>
                  <w:r w:rsidRPr="0076497D">
                    <w:rPr>
                      <w:rFonts w:ascii="Times New Roman" w:eastAsia="Times New Roman" w:hAnsi="Times New Roman" w:cs="Times New Roman"/>
                      <w:sz w:val="18"/>
                      <w:szCs w:val="18"/>
                      <w:lang w:eastAsia="tr-TR"/>
                    </w:rPr>
                    <w:t xml:space="preserve"> (1) Yapılan inceleme sonucunda, bir NGGS açılabilmesi için yeterli bilgi, belge ve delillerin bulunduğu anlaşıldığından, İthalatta Haksız Rekabeti Değerlendirme Kurulunun kararı ve Ticaret Bakanının onayı ile Almanya ve ÇHC menşeli önlem konusu ürüne yönelik olarak Yönetmeliğin 35 inci maddesi çerçevesinde bir NGGS açılmasına karar verilmiştir.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Piyasa ekonomisi değerlendirmesi</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 xml:space="preserve">MADDE 9 – </w:t>
                  </w:r>
                  <w:r w:rsidRPr="0076497D">
                    <w:rPr>
                      <w:rFonts w:ascii="Times New Roman" w:eastAsia="Times New Roman" w:hAnsi="Times New Roman" w:cs="Times New Roman"/>
                      <w:sz w:val="18"/>
                      <w:szCs w:val="18"/>
                      <w:lang w:eastAsia="tr-TR"/>
                    </w:rPr>
                    <w:t>(1) ÇHC’de yerleşik soruşturmaya tabi üretici veya üreticilerin soruşturma konusu ürünün üretiminde ve satışında Yönetmeliğin ek 1 inci maddesindeki ölçütler çerçevesinde piyasa ekonomisi koşullarının geçerli olduğunu 12 nci maddede belirtilen süreler içinde yeterli deliller ile ispat etmesi durumunda, bu üretici veya üreticiler için normal değerin tespitinde Yönetmeliğin 5 inci maddesi, aksi takdirde Yönetmeliğin 7 nci maddesi hükümleri uygulanır. Yönetmeliğin 7 nci maddesi hükümlerinin tatbiki halinde, adı geçen ülke için piyasa ekonomisi uygulayan emsal ülke olarak Türkiye’nin seçilmesi öngörülür.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Soru formlarının iletilmesi</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MADDE 10 –</w:t>
                  </w:r>
                  <w:r w:rsidRPr="0076497D">
                    <w:rPr>
                      <w:rFonts w:ascii="Times New Roman" w:eastAsia="Times New Roman" w:hAnsi="Times New Roman" w:cs="Times New Roman"/>
                      <w:sz w:val="18"/>
                      <w:szCs w:val="18"/>
                      <w:lang w:eastAsia="tr-TR"/>
                    </w:rPr>
                    <w:t xml:space="preserve"> (1) Soruşturma açılmasını müteakip, başvuruda belirtilen ve Bakanlıkça tespit edilen soruşturmaya konu ürünün bilinen ithalatçılarına, soruşturma konusu ülkelerde yerleşik bilinen üretici/ihracatçılara ve soruşturmaya konu ülkelerin Ankara’daki Büyükelçilikleri ile Avrupa Birliği Türkiye Delegasyonuna soruşturmanın açılışına ilişkin bildirimde bulunulur.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(2) Bildirimde, soruşturma açılış Tebliği, başvurunun gizli olmayan özeti ve soru formlarına erişim hususunda bilgiye yer verilir.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(3) Bakanlıkça tespit edilememesi nedeniyle bildirim gönderilemeyen veya kendilerine bildirim ulaşmayan diğer ilgili tarafların soru formuna Bakanlığın internet sayfasındaki ilgili bölümden erişmeleri mümkündür.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Yetkili merci, görüş ve cevapların sunulması</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MADDE 11 –</w:t>
                  </w:r>
                  <w:r w:rsidRPr="0076497D">
                    <w:rPr>
                      <w:rFonts w:ascii="Times New Roman" w:eastAsia="Times New Roman" w:hAnsi="Times New Roman" w:cs="Times New Roman"/>
                      <w:sz w:val="18"/>
                      <w:szCs w:val="18"/>
                      <w:lang w:eastAsia="tr-TR"/>
                    </w:rPr>
                    <w:t xml:space="preserve"> (1) Soruşturma, Genel Müdürlük tarafından yürütülür.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(2) Soruşturma ile ilgili bilgi, belge, görüş ve sorular için aşağıda belirtilen yetkili merci ile iletişime geçilir.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T.C. Ticaret Bakanlığı</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İthalat Genel Müdürlüğü</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Damping ve Sübvansiyon Araştırma Dairesi</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Adres: Söğütözü Mah. 2176. Sok. No:63 Çankaya/ANKARA</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Tel: +90 312 204 75 00</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u w:val="single"/>
                      <w:lang w:eastAsia="tr-TR"/>
                    </w:rPr>
                    <w:t>www.ticaret.gov.tr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(3) Soruşturmada “Türkiye’de yerleşik firma, kurum ve kuruluşlardan ilgili taraf olmak isteyenler”, soru formlarına cevapları ile resmi görüşlerini kendilerine ait KEP adreslerinden Bakanlığın aşağıda yer alan KEP adresine gönderir.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 xml:space="preserve">KEP Adresi: </w:t>
                  </w:r>
                  <w:r w:rsidRPr="0076497D">
                    <w:rPr>
                      <w:rFonts w:ascii="Times New Roman" w:eastAsia="Times New Roman" w:hAnsi="Times New Roman" w:cs="Times New Roman"/>
                      <w:sz w:val="18"/>
                      <w:szCs w:val="18"/>
                      <w:u w:val="single"/>
                      <w:lang w:eastAsia="tr-TR"/>
                    </w:rPr>
                    <w:t>ekonomi@hs01.kep.tr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(4) Soruşturmada “yurt dışında yerleşik firma, kurum ve kuruluşlardan ilgili taraf olmak isteyenler”, soru formlarına cevapları ile resmi görüşlerini Bakanlığın posta adresine ve aşağıda yer alan EBYS e-posta adresine gönderir.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 xml:space="preserve">EBYS E-posta Adresi: </w:t>
                  </w:r>
                  <w:r w:rsidRPr="0076497D">
                    <w:rPr>
                      <w:rFonts w:ascii="Times New Roman" w:eastAsia="Times New Roman" w:hAnsi="Times New Roman" w:cs="Times New Roman"/>
                      <w:sz w:val="18"/>
                      <w:szCs w:val="18"/>
                      <w:u w:val="single"/>
                      <w:lang w:eastAsia="tr-TR"/>
                    </w:rPr>
                    <w:t>ithebys@ticaret.gov.tr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(5) Soruşturmaya ilişkin yazılı ve sözlü iletişim Türkçe yapılır. İlgili taraflar, soru formuna ilişkin yanıtlar dışında kalan tüm bilgi, belge, görüş ve taleplerini yazılı olarak Türkçe sunarlar. Türkçe dışında bir dilde sunulan yanıt, bilgi, belge, görüş ve talepler dikkate alınmaz.</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(6) İlgili taraflar, soru formunda istenilen bilgiler haricinde soruşturmayla ilgili olduğu düşünülen diğer bilgi, belge ve görüşlerini, destekleyici deliller ile birlikte Genel Müdürlüğe yazılı olarak 12 nci maddenin ikinci fıkrasında belirtilen süre içerisinde sunabilir.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(7) Soruşturmanın sonucundan etkilenebileceklerini iddia eden, ancak 10 uncu maddenin birinci ve üçüncü fıkraları kapsamına girmeyen meslek kuruluşları, tüketici dernekleri, üretim dalındaki işçi veya işveren sendikaları, ürünü girdi olarak kullanan işletmeler gibi diğer ilgili taraflar görüşlerini Genel Müdürlüğe yazılı olarak 12 nci maddenin üçüncü fıkrasında belirtilen süre içerisinde sunabilir.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(8)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(9) Soruşturma süresince Yönetmeliğin 22 nci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Süreler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 xml:space="preserve">MADDE 12 – </w:t>
                  </w:r>
                  <w:r w:rsidRPr="0076497D">
                    <w:rPr>
                      <w:rFonts w:ascii="Times New Roman" w:eastAsia="Times New Roman" w:hAnsi="Times New Roman" w:cs="Times New Roman"/>
                      <w:sz w:val="18"/>
                      <w:szCs w:val="18"/>
                      <w:lang w:eastAsia="tr-TR"/>
                    </w:rPr>
                    <w:t>(1) 10 uncu maddenin birinci fıkrasında belirtilen bildirimin gönderildiği bütün ilgili taraflar için soru formunu cevaplandırma süresi, soruşturmanın açılışına ilişkin bildirimin gönderildiği tarihten itibaren posta süresi dâhil 37 gündür.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(2) 10 uncu maddenin üçüncü fıkrasında yer alan bildirimin gönderilemediği ilgili taraflar soru formuna ilişkin cevaplarını, 11 inci maddenin altıncı fıkrasında belirtilen bütün ilgili taraflar soru formunda istenilen bilgiler haricinde soruşturmayla ilgili olduğu düşünülen diğer bilgi, belge ve görüşlerini bu Tebliğin yayımı tarihinden itibaren başlayacak 37 günlük süre içerisinde sunabilir.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(3) Soruşturmanın sonucundan etkilenebileceklerini iddia eden 11 inci maddenin yedinci fıkrası kapsamına giren diğer ilgili taraflar, soruşturma ile ilgili görüşlerini bu Tebliğin yayımı tarihinden itibaren soruşturmanın akışını etkilemeyecek şekilde soruşturma süreci içerisinde sunabilir.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İşbirliğine gelinmemesi</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MADDE 13 –</w:t>
                  </w:r>
                  <w:r w:rsidRPr="0076497D">
                    <w:rPr>
                      <w:rFonts w:ascii="Times New Roman" w:eastAsia="Times New Roman" w:hAnsi="Times New Roman" w:cs="Times New Roman"/>
                      <w:sz w:val="18"/>
                      <w:szCs w:val="18"/>
                      <w:lang w:eastAsia="tr-TR"/>
                    </w:rPr>
                    <w:t xml:space="preserve"> (1) Yönetmeliğin 26 ncı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Meri önlemin uygulanması</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MADDE 14 –</w:t>
                  </w:r>
                  <w:r w:rsidRPr="0076497D">
                    <w:rPr>
                      <w:rFonts w:ascii="Times New Roman" w:eastAsia="Times New Roman" w:hAnsi="Times New Roman" w:cs="Times New Roman"/>
                      <w:sz w:val="18"/>
                      <w:szCs w:val="18"/>
                      <w:lang w:eastAsia="tr-TR"/>
                    </w:rPr>
                    <w:t xml:space="preserve"> (1) Yönetmeliğin 35 inci maddesinin dördüncü fıkrası uyarınca, meri önlemler soruşturma sonuçlanıncaya kadar yürürlükte kalmaya devam eder.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Soruşturmanın başlangıç tarihi</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MADDE 15 –</w:t>
                  </w:r>
                  <w:r w:rsidRPr="0076497D">
                    <w:rPr>
                      <w:rFonts w:ascii="Times New Roman" w:eastAsia="Times New Roman" w:hAnsi="Times New Roman" w:cs="Times New Roman"/>
                      <w:sz w:val="18"/>
                      <w:szCs w:val="18"/>
                      <w:lang w:eastAsia="tr-TR"/>
                    </w:rPr>
                    <w:t xml:space="preserve"> (1) Soruşturma, bu Tebliğin yayımı tarihinde başlamış kabul edilir.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Yürürlük</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 xml:space="preserve">MADDE 16 – </w:t>
                  </w:r>
                  <w:r w:rsidRPr="0076497D">
                    <w:rPr>
                      <w:rFonts w:ascii="Times New Roman" w:eastAsia="Times New Roman" w:hAnsi="Times New Roman" w:cs="Times New Roman"/>
                      <w:sz w:val="18"/>
                      <w:szCs w:val="18"/>
                      <w:lang w:eastAsia="tr-TR"/>
                    </w:rPr>
                    <w:t>(1) Bu Tebliğ yayımı tarihinde yürürlüğe girer.</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6497D">
                    <w:rPr>
                      <w:rFonts w:ascii="Times New Roman" w:eastAsia="Times New Roman" w:hAnsi="Times New Roman" w:cs="Times New Roman"/>
                      <w:b/>
                      <w:sz w:val="18"/>
                      <w:szCs w:val="18"/>
                      <w:lang w:eastAsia="tr-TR"/>
                    </w:rPr>
                    <w:t>Yürütme</w:t>
                  </w:r>
                </w:p>
                <w:p w:rsidR="0076497D" w:rsidRPr="0076497D" w:rsidRDefault="0076497D" w:rsidP="0076497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6497D">
                    <w:rPr>
                      <w:rFonts w:ascii="Times New Roman" w:eastAsia="Times New Roman" w:hAnsi="Times New Roman" w:cs="Times New Roman"/>
                      <w:b/>
                      <w:sz w:val="18"/>
                      <w:szCs w:val="18"/>
                      <w:lang w:eastAsia="tr-TR"/>
                    </w:rPr>
                    <w:t>MADDE 17 –</w:t>
                  </w:r>
                  <w:r w:rsidRPr="0076497D">
                    <w:rPr>
                      <w:rFonts w:ascii="Times New Roman" w:eastAsia="Times New Roman" w:hAnsi="Times New Roman" w:cs="Times New Roman"/>
                      <w:sz w:val="18"/>
                      <w:szCs w:val="18"/>
                      <w:lang w:eastAsia="tr-TR"/>
                    </w:rPr>
                    <w:t xml:space="preserve"> (1) Bu Tebliğ hükümlerini Ticaret Bakanı yürütür.</w:t>
                  </w:r>
                </w:p>
                <w:p w:rsidR="0076497D" w:rsidRPr="0076497D" w:rsidRDefault="0076497D" w:rsidP="0076497D">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6497D" w:rsidRPr="0076497D" w:rsidRDefault="0076497D" w:rsidP="0076497D">
            <w:pPr>
              <w:spacing w:after="0" w:line="240" w:lineRule="auto"/>
              <w:jc w:val="center"/>
              <w:rPr>
                <w:rFonts w:ascii="Times New Roman" w:eastAsia="Times New Roman" w:hAnsi="Times New Roman" w:cs="Times New Roman"/>
                <w:sz w:val="20"/>
                <w:szCs w:val="20"/>
                <w:lang w:eastAsia="tr-TR"/>
              </w:rPr>
            </w:pPr>
          </w:p>
        </w:tc>
      </w:tr>
    </w:tbl>
    <w:p w:rsidR="0076497D" w:rsidRPr="0076497D" w:rsidRDefault="0076497D" w:rsidP="0076497D">
      <w:pPr>
        <w:spacing w:after="0" w:line="240" w:lineRule="auto"/>
        <w:jc w:val="center"/>
        <w:rPr>
          <w:rFonts w:ascii="Times New Roman" w:eastAsia="Times New Roman" w:hAnsi="Times New Roman" w:cs="Times New Roman"/>
          <w:sz w:val="24"/>
          <w:szCs w:val="24"/>
          <w:lang w:eastAsia="tr-TR"/>
        </w:rPr>
      </w:pPr>
    </w:p>
    <w:p w:rsidR="009126FF" w:rsidRDefault="009126FF">
      <w:bookmarkStart w:id="0" w:name="_GoBack"/>
      <w:bookmarkEnd w:id="0"/>
    </w:p>
    <w:sectPr w:rsidR="00912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24"/>
    <w:rsid w:val="0076497D"/>
    <w:rsid w:val="009126FF"/>
    <w:rsid w:val="00933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BBEA3-8B29-48E2-BF77-87DA4BD9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7649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6497D"/>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76497D"/>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76497D"/>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31282">
      <w:bodyDiv w:val="1"/>
      <w:marLeft w:val="0"/>
      <w:marRight w:val="0"/>
      <w:marTop w:val="0"/>
      <w:marBottom w:val="0"/>
      <w:divBdr>
        <w:top w:val="none" w:sz="0" w:space="0" w:color="auto"/>
        <w:left w:val="none" w:sz="0" w:space="0" w:color="auto"/>
        <w:bottom w:val="none" w:sz="0" w:space="0" w:color="auto"/>
        <w:right w:val="none" w:sz="0" w:space="0" w:color="auto"/>
      </w:divBdr>
      <w:divsChild>
        <w:div w:id="664162168">
          <w:marLeft w:val="0"/>
          <w:marRight w:val="0"/>
          <w:marTop w:val="0"/>
          <w:marBottom w:val="0"/>
          <w:divBdr>
            <w:top w:val="none" w:sz="0" w:space="0" w:color="auto"/>
            <w:left w:val="none" w:sz="0" w:space="0" w:color="auto"/>
            <w:bottom w:val="none" w:sz="0" w:space="0" w:color="auto"/>
            <w:right w:val="none" w:sz="0" w:space="0" w:color="auto"/>
          </w:divBdr>
          <w:divsChild>
            <w:div w:id="1290672040">
              <w:marLeft w:val="0"/>
              <w:marRight w:val="0"/>
              <w:marTop w:val="0"/>
              <w:marBottom w:val="0"/>
              <w:divBdr>
                <w:top w:val="none" w:sz="0" w:space="0" w:color="auto"/>
                <w:left w:val="none" w:sz="0" w:space="0" w:color="auto"/>
                <w:bottom w:val="none" w:sz="0" w:space="0" w:color="auto"/>
                <w:right w:val="none" w:sz="0" w:space="0" w:color="auto"/>
              </w:divBdr>
              <w:divsChild>
                <w:div w:id="937640856">
                  <w:marLeft w:val="0"/>
                  <w:marRight w:val="0"/>
                  <w:marTop w:val="0"/>
                  <w:marBottom w:val="0"/>
                  <w:divBdr>
                    <w:top w:val="none" w:sz="0" w:space="0" w:color="auto"/>
                    <w:left w:val="none" w:sz="0" w:space="0" w:color="auto"/>
                    <w:bottom w:val="none" w:sz="0" w:space="0" w:color="auto"/>
                    <w:right w:val="none" w:sz="0" w:space="0" w:color="auto"/>
                  </w:divBdr>
                  <w:divsChild>
                    <w:div w:id="20830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1706</Words>
  <Characters>9728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2019-04-12T06:11:00Z</dcterms:created>
  <dcterms:modified xsi:type="dcterms:W3CDTF">2019-04-12T06:11:00Z</dcterms:modified>
</cp:coreProperties>
</file>