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64887" w:rsidRPr="00964887" w:rsidTr="0096488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64887" w:rsidRPr="0096488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9335"/>
                  </w:tblGrid>
                  <w:tr w:rsidR="00964887" w:rsidRPr="00964887" w:rsidTr="00964887">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64887" w:rsidRPr="00964887">
                          <w:tc>
                            <w:tcPr>
                              <w:tcW w:w="0" w:type="auto"/>
                              <w:vAlign w:val="center"/>
                              <w:hideMark/>
                            </w:tcPr>
                            <w:p w:rsidR="00964887" w:rsidRPr="00964887" w:rsidRDefault="00964887" w:rsidP="00964887">
                              <w:pPr>
                                <w:spacing w:after="0" w:line="240" w:lineRule="auto"/>
                                <w:jc w:val="center"/>
                                <w:rPr>
                                  <w:rFonts w:ascii="Verdana" w:eastAsia="Times New Roman" w:hAnsi="Verdana" w:cs="Times New Roman"/>
                                  <w:b/>
                                  <w:bCs/>
                                  <w:color w:val="9CA4BE"/>
                                  <w:sz w:val="18"/>
                                  <w:szCs w:val="18"/>
                                  <w:lang w:eastAsia="tr-TR"/>
                                </w:rPr>
                              </w:pPr>
                              <w:r w:rsidRPr="00964887">
                                <w:rPr>
                                  <w:rFonts w:ascii="Verdana" w:eastAsia="Times New Roman" w:hAnsi="Verdana" w:cs="Times New Roman"/>
                                  <w:b/>
                                  <w:bCs/>
                                  <w:color w:val="9CA4BE"/>
                                  <w:sz w:val="18"/>
                                  <w:szCs w:val="18"/>
                                  <w:lang w:eastAsia="tr-TR"/>
                                </w:rPr>
                                <w:t>İran Menşeli Polyester Elyaf İthalatında Korunma Önlemi Uygulanmasına İlişkin Karar (2017/10799)(22.12.2017 T. 30248 R.G.)</w:t>
                              </w:r>
                            </w:p>
                          </w:tc>
                        </w:tr>
                        <w:tr w:rsidR="00964887" w:rsidRPr="0096488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64887" w:rsidRPr="00964887">
                                <w:trPr>
                                  <w:tblCellSpacing w:w="15" w:type="dxa"/>
                                </w:trPr>
                                <w:tc>
                                  <w:tcPr>
                                    <w:tcW w:w="0" w:type="auto"/>
                                    <w:vAlign w:val="center"/>
                                    <w:hideMark/>
                                  </w:tcPr>
                                  <w:p w:rsidR="00964887" w:rsidRPr="00964887" w:rsidRDefault="00964887" w:rsidP="00964887">
                                    <w:pPr>
                                      <w:spacing w:after="0" w:line="240" w:lineRule="auto"/>
                                      <w:jc w:val="center"/>
                                      <w:rPr>
                                        <w:rFonts w:ascii="Verdana" w:eastAsia="Times New Roman" w:hAnsi="Verdana" w:cs="Times New Roman"/>
                                        <w:b/>
                                        <w:bCs/>
                                        <w:color w:val="9CA4BE"/>
                                        <w:sz w:val="18"/>
                                        <w:szCs w:val="18"/>
                                        <w:lang w:eastAsia="tr-TR"/>
                                      </w:rPr>
                                    </w:pPr>
                                  </w:p>
                                </w:tc>
                              </w:tr>
                            </w:tbl>
                            <w:p w:rsidR="00964887" w:rsidRPr="00964887" w:rsidRDefault="00964887" w:rsidP="00964887">
                              <w:pPr>
                                <w:spacing w:after="0" w:line="240" w:lineRule="auto"/>
                                <w:rPr>
                                  <w:rFonts w:ascii="Times New Roman" w:eastAsia="Times New Roman" w:hAnsi="Times New Roman" w:cs="Times New Roman"/>
                                  <w:sz w:val="24"/>
                                  <w:szCs w:val="24"/>
                                  <w:lang w:eastAsia="tr-TR"/>
                                </w:rPr>
                              </w:pPr>
                            </w:p>
                          </w:tc>
                        </w:tr>
                        <w:tr w:rsidR="00964887" w:rsidRPr="00964887">
                          <w:tc>
                            <w:tcPr>
                              <w:tcW w:w="0" w:type="auto"/>
                              <w:tcMar>
                                <w:top w:w="300" w:type="dxa"/>
                                <w:left w:w="150" w:type="dxa"/>
                                <w:bottom w:w="0" w:type="dxa"/>
                                <w:right w:w="150" w:type="dxa"/>
                              </w:tcMar>
                              <w:vAlign w:val="center"/>
                            </w:tcPr>
                            <w:p w:rsidR="00964887" w:rsidRPr="00964887" w:rsidRDefault="00964887" w:rsidP="00964887">
                              <w:pPr>
                                <w:spacing w:after="0" w:line="240" w:lineRule="auto"/>
                                <w:jc w:val="center"/>
                                <w:rPr>
                                  <w:rFonts w:ascii="Times New Roman" w:eastAsia="Times New Roman" w:hAnsi="Times New Roman" w:cs="Times New Roman"/>
                                  <w:b/>
                                  <w:color w:val="000000"/>
                                  <w:sz w:val="24"/>
                                  <w:szCs w:val="24"/>
                                  <w:lang w:eastAsia="tr-TR"/>
                                </w:rPr>
                              </w:pPr>
                              <w:r w:rsidRPr="00964887">
                                <w:rPr>
                                  <w:rFonts w:ascii="Times New Roman" w:eastAsia="Times New Roman" w:hAnsi="Times New Roman" w:cs="Times New Roman"/>
                                  <w:b/>
                                  <w:color w:val="000000"/>
                                  <w:sz w:val="24"/>
                                  <w:szCs w:val="24"/>
                                  <w:lang w:eastAsia="tr-TR"/>
                                </w:rPr>
                                <w:t>2017/10799      İRAN MENŞELİ POLYESTER ELYAF İTHALATINDA KORUNMA ÖNLEMİ UYGULANMASINA İLİŞKİN KARAR</w:t>
                              </w:r>
                            </w:p>
                            <w:p w:rsidR="00964887" w:rsidRPr="00964887" w:rsidRDefault="00964887" w:rsidP="00964887">
                              <w:pPr>
                                <w:spacing w:after="0" w:line="240" w:lineRule="auto"/>
                                <w:jc w:val="center"/>
                                <w:rPr>
                                  <w:rFonts w:ascii="Times New Roman" w:eastAsia="Times New Roman" w:hAnsi="Times New Roman" w:cs="Times New Roman"/>
                                  <w:b/>
                                  <w:color w:val="000000"/>
                                  <w:sz w:val="24"/>
                                  <w:szCs w:val="24"/>
                                  <w:lang w:eastAsia="tr-TR"/>
                                </w:rPr>
                              </w:pPr>
                              <w:r w:rsidRPr="00964887">
                                <w:rPr>
                                  <w:rFonts w:ascii="Times New Roman" w:eastAsia="Times New Roman" w:hAnsi="Times New Roman" w:cs="Times New Roman"/>
                                  <w:b/>
                                  <w:color w:val="000000"/>
                                  <w:sz w:val="24"/>
                                  <w:szCs w:val="24"/>
                                  <w:lang w:eastAsia="tr-TR"/>
                                </w:rPr>
                                <w:t>(22.11.2017 T. 30248 R.G.)</w:t>
                              </w:r>
                            </w:p>
                            <w:p w:rsidR="00964887" w:rsidRPr="00964887" w:rsidRDefault="00964887" w:rsidP="00964887">
                              <w:pPr>
                                <w:spacing w:after="0" w:line="240" w:lineRule="auto"/>
                                <w:rPr>
                                  <w:rFonts w:ascii="Verdana" w:eastAsia="Times New Roman" w:hAnsi="Verdana" w:cs="Times New Roman"/>
                                  <w:color w:val="000000"/>
                                  <w:sz w:val="18"/>
                                  <w:szCs w:val="18"/>
                                  <w:lang w:eastAsia="tr-TR"/>
                                </w:rPr>
                              </w:pPr>
                            </w:p>
                            <w:p w:rsidR="00964887" w:rsidRPr="00964887" w:rsidRDefault="00964887" w:rsidP="00964887">
                              <w:pPr>
                                <w:spacing w:before="120" w:after="581" w:line="240" w:lineRule="auto"/>
                                <w:rPr>
                                  <w:rFonts w:ascii="Verdana" w:eastAsia="Times New Roman" w:hAnsi="Verdana" w:cs="Times New Roman"/>
                                  <w:bCs/>
                                  <w:color w:val="000000"/>
                                  <w:sz w:val="20"/>
                                  <w:szCs w:val="20"/>
                                  <w:lang w:eastAsia="tr-TR"/>
                                </w:rPr>
                              </w:pPr>
                              <w:r w:rsidRPr="00964887">
                                <w:rPr>
                                  <w:rFonts w:ascii="Verdana" w:eastAsia="Times New Roman" w:hAnsi="Verdana" w:cs="Times New Roman"/>
                                  <w:bCs/>
                                  <w:color w:val="000000"/>
                                  <w:sz w:val="20"/>
                                  <w:szCs w:val="20"/>
                                  <w:lang w:eastAsia="tr-TR"/>
                                </w:rPr>
                                <w:t xml:space="preserve">Ekli “İran Menşeli Polyester Elyaf İthalatında Korunma Önlemi Uygulanmasına İlişkin </w:t>
                              </w:r>
                              <w:proofErr w:type="spellStart"/>
                              <w:r w:rsidRPr="00964887">
                                <w:rPr>
                                  <w:rFonts w:ascii="Verdana" w:eastAsia="Times New Roman" w:hAnsi="Verdana" w:cs="Times New Roman"/>
                                  <w:bCs/>
                                  <w:color w:val="000000"/>
                                  <w:sz w:val="20"/>
                                  <w:szCs w:val="20"/>
                                  <w:lang w:eastAsia="tr-TR"/>
                                </w:rPr>
                                <w:t>Karar”m</w:t>
                              </w:r>
                              <w:proofErr w:type="spellEnd"/>
                              <w:r w:rsidRPr="00964887">
                                <w:rPr>
                                  <w:rFonts w:ascii="Verdana" w:eastAsia="Times New Roman" w:hAnsi="Verdana" w:cs="Times New Roman"/>
                                  <w:bCs/>
                                  <w:color w:val="000000"/>
                                  <w:sz w:val="20"/>
                                  <w:szCs w:val="20"/>
                                  <w:lang w:eastAsia="tr-TR"/>
                                </w:rPr>
                                <w:t xml:space="preserve"> yürürlüğe konulması; Ekonomi Bakanlığının </w:t>
                              </w:r>
                              <w:proofErr w:type="gramStart"/>
                              <w:r w:rsidRPr="00964887">
                                <w:rPr>
                                  <w:rFonts w:ascii="Verdana" w:eastAsia="Times New Roman" w:hAnsi="Verdana" w:cs="Times New Roman"/>
                                  <w:bCs/>
                                  <w:color w:val="000000"/>
                                  <w:sz w:val="20"/>
                                  <w:szCs w:val="20"/>
                                  <w:lang w:eastAsia="tr-TR"/>
                                </w:rPr>
                                <w:t>5/9/2017</w:t>
                              </w:r>
                              <w:proofErr w:type="gramEnd"/>
                              <w:r w:rsidRPr="00964887">
                                <w:rPr>
                                  <w:rFonts w:ascii="Verdana" w:eastAsia="Times New Roman" w:hAnsi="Verdana" w:cs="Times New Roman"/>
                                  <w:bCs/>
                                  <w:color w:val="000000"/>
                                  <w:sz w:val="20"/>
                                  <w:szCs w:val="20"/>
                                  <w:lang w:eastAsia="tr-TR"/>
                                </w:rPr>
                                <w:t xml:space="preserve"> tarihli ve 92349 sayılı yazısı üzerine, 20/2/1930 tarihli ve 1567 sayılı Kanunun 1 inci, 14/5/1964 tarihli ve 474 sayılı Kanunun 2nci, 6/5/1986 tarihli ve 3283 sayılı Kanunun 2 </w:t>
                              </w:r>
                              <w:proofErr w:type="spellStart"/>
                              <w:r w:rsidRPr="00964887">
                                <w:rPr>
                                  <w:rFonts w:ascii="Verdana" w:eastAsia="Times New Roman" w:hAnsi="Verdana" w:cs="Times New Roman"/>
                                  <w:bCs/>
                                  <w:color w:val="000000"/>
                                  <w:sz w:val="20"/>
                                  <w:szCs w:val="20"/>
                                  <w:lang w:eastAsia="tr-TR"/>
                                </w:rPr>
                                <w:t>ıici</w:t>
                              </w:r>
                              <w:proofErr w:type="spellEnd"/>
                              <w:r w:rsidRPr="00964887">
                                <w:rPr>
                                  <w:rFonts w:ascii="Verdana" w:eastAsia="Times New Roman" w:hAnsi="Verdana" w:cs="Times New Roman"/>
                                  <w:bCs/>
                                  <w:color w:val="000000"/>
                                  <w:sz w:val="20"/>
                                  <w:szCs w:val="20"/>
                                  <w:lang w:eastAsia="tr-TR"/>
                                </w:rPr>
                                <w:t>, 27/10/1999 talihli ve 4458 sayılı Kanunun 16, 22 ve 55 inci maddeleri ile 2/2/1984 tarihli ve 2976 sayılı Kanun ile 26/1/1995 tarihli ve 4067 sayılı Kanun hükümlerine göre, Bakanlar Kurulu’nca 11/9/2017 talihinde kararlaştırılmıştır.</w:t>
                              </w:r>
                            </w:p>
                            <w:p w:rsidR="00964887" w:rsidRPr="00964887" w:rsidRDefault="00964887" w:rsidP="00964887">
                              <w:pPr>
                                <w:spacing w:after="177" w:line="240" w:lineRule="auto"/>
                                <w:jc w:val="center"/>
                                <w:rPr>
                                  <w:rFonts w:ascii="Verdana" w:eastAsia="Times New Roman" w:hAnsi="Verdana" w:cs="Times New Roman"/>
                                  <w:b/>
                                  <w:color w:val="000000"/>
                                  <w:sz w:val="20"/>
                                  <w:szCs w:val="20"/>
                                  <w:lang w:eastAsia="tr-TR"/>
                                </w:rPr>
                              </w:pPr>
                              <w:r w:rsidRPr="00964887">
                                <w:rPr>
                                  <w:rFonts w:ascii="Verdana" w:eastAsia="Times New Roman" w:hAnsi="Verdana" w:cs="Times New Roman"/>
                                  <w:b/>
                                  <w:color w:val="000000"/>
                                  <w:sz w:val="20"/>
                                  <w:szCs w:val="20"/>
                                  <w:lang w:eastAsia="tr-TR"/>
                                </w:rPr>
                                <w:t>İRAN MENŞELİ POLYESTER ELYAF İTHALATINDA KORUNMA ÖNLEMİ</w:t>
                              </w:r>
                              <w:r w:rsidRPr="00964887">
                                <w:rPr>
                                  <w:rFonts w:ascii="Verdana" w:eastAsia="Times New Roman" w:hAnsi="Verdana" w:cs="Times New Roman"/>
                                  <w:b/>
                                  <w:color w:val="000000"/>
                                  <w:sz w:val="20"/>
                                  <w:szCs w:val="20"/>
                                  <w:lang w:eastAsia="tr-TR"/>
                                </w:rPr>
                                <w:br/>
                                <w:t>UYGULANMASINA İLİŞKİN KARAR</w:t>
                              </w:r>
                            </w:p>
                            <w:p w:rsidR="00964887" w:rsidRPr="00964887" w:rsidRDefault="00964887" w:rsidP="00964887">
                              <w:pPr>
                                <w:spacing w:after="0" w:line="230" w:lineRule="exact"/>
                                <w:ind w:firstLine="580"/>
                                <w:jc w:val="both"/>
                                <w:rPr>
                                  <w:rFonts w:ascii="Verdana" w:eastAsia="Times New Roman" w:hAnsi="Verdana" w:cs="Times New Roman"/>
                                  <w:b/>
                                  <w:color w:val="000000"/>
                                  <w:sz w:val="20"/>
                                  <w:szCs w:val="20"/>
                                  <w:lang w:eastAsia="tr-TR"/>
                                </w:rPr>
                              </w:pPr>
                              <w:r w:rsidRPr="00964887">
                                <w:rPr>
                                  <w:rFonts w:ascii="Verdana" w:eastAsia="Times New Roman" w:hAnsi="Verdana" w:cs="Times New Roman"/>
                                  <w:b/>
                                  <w:color w:val="000000"/>
                                  <w:sz w:val="20"/>
                                  <w:szCs w:val="20"/>
                                  <w:lang w:eastAsia="tr-TR"/>
                                </w:rPr>
                                <w:t>Kapsam</w:t>
                              </w:r>
                            </w:p>
                            <w:p w:rsidR="00964887" w:rsidRPr="00964887" w:rsidRDefault="00964887" w:rsidP="00964887">
                              <w:pPr>
                                <w:spacing w:after="0" w:line="230" w:lineRule="exact"/>
                                <w:ind w:firstLine="580"/>
                                <w:jc w:val="both"/>
                                <w:rPr>
                                  <w:rFonts w:ascii="Verdana" w:eastAsia="Times New Roman" w:hAnsi="Verdana" w:cs="Times New Roman"/>
                                  <w:color w:val="000000"/>
                                  <w:sz w:val="18"/>
                                  <w:szCs w:val="18"/>
                                  <w:lang w:eastAsia="tr-TR"/>
                                </w:rPr>
                              </w:pPr>
                              <w:r w:rsidRPr="00964887">
                                <w:rPr>
                                  <w:rFonts w:ascii="Verdana" w:eastAsia="Times New Roman" w:hAnsi="Verdana" w:cs="Times New Roman"/>
                                  <w:b/>
                                  <w:color w:val="000000"/>
                                  <w:sz w:val="20"/>
                                  <w:szCs w:val="20"/>
                                  <w:lang w:eastAsia="tr-TR"/>
                                </w:rPr>
                                <w:t>MADDE 1</w:t>
                              </w:r>
                              <w:r w:rsidRPr="00964887">
                                <w:rPr>
                                  <w:rFonts w:ascii="Verdana" w:eastAsia="Times New Roman" w:hAnsi="Verdana" w:cs="Times New Roman"/>
                                  <w:color w:val="000000"/>
                                  <w:sz w:val="20"/>
                                  <w:szCs w:val="20"/>
                                  <w:lang w:eastAsia="tr-TR"/>
                                </w:rPr>
                                <w:t xml:space="preserve">- (1) Bu Karar, </w:t>
                              </w:r>
                              <w:proofErr w:type="gramStart"/>
                              <w:r w:rsidRPr="00964887">
                                <w:rPr>
                                  <w:rFonts w:ascii="Verdana" w:eastAsia="Times New Roman" w:hAnsi="Verdana" w:cs="Times New Roman"/>
                                  <w:color w:val="000000"/>
                                  <w:sz w:val="20"/>
                                  <w:szCs w:val="20"/>
                                  <w:lang w:eastAsia="tr-TR"/>
                                </w:rPr>
                                <w:t>10/5/2004</w:t>
                              </w:r>
                              <w:proofErr w:type="gramEnd"/>
                              <w:r w:rsidRPr="00964887">
                                <w:rPr>
                                  <w:rFonts w:ascii="Verdana" w:eastAsia="Times New Roman" w:hAnsi="Verdana" w:cs="Times New Roman"/>
                                  <w:color w:val="000000"/>
                                  <w:sz w:val="20"/>
                                  <w:szCs w:val="20"/>
                                  <w:lang w:eastAsia="tr-TR"/>
                                </w:rPr>
                                <w:t xml:space="preserve"> tarihli ve 2004/7305 sayılı Bakanlar Kurulu Kararıyla yürürlüğe konulan İthalatta Korunma Önlemleri Hakkında Karar çerçevesinde İran menşeli polyester elyaf ithalatında yürütülen mevcut önlemin uzatılmasına ilişkin korunma önlemi soruşturması sonucunda alman korunma önlemine ilişkin usul ve-esasları kapsar.</w:t>
                              </w:r>
                            </w:p>
                            <w:p w:rsidR="00964887" w:rsidRPr="00964887" w:rsidRDefault="00964887" w:rsidP="00964887">
                              <w:pPr>
                                <w:spacing w:after="0" w:line="230" w:lineRule="exact"/>
                                <w:ind w:firstLine="580"/>
                                <w:jc w:val="both"/>
                                <w:rPr>
                                  <w:rFonts w:ascii="Verdana" w:eastAsia="Times New Roman" w:hAnsi="Verdana" w:cs="Times New Roman"/>
                                  <w:color w:val="000000"/>
                                  <w:sz w:val="18"/>
                                  <w:szCs w:val="18"/>
                                  <w:lang w:eastAsia="tr-TR"/>
                                </w:rPr>
                              </w:pPr>
                            </w:p>
                            <w:p w:rsidR="00964887" w:rsidRPr="00964887" w:rsidRDefault="00964887" w:rsidP="00964887">
                              <w:pPr>
                                <w:spacing w:after="0" w:line="230" w:lineRule="exact"/>
                                <w:ind w:firstLine="580"/>
                                <w:jc w:val="both"/>
                                <w:rPr>
                                  <w:rFonts w:ascii="Verdana" w:eastAsia="Times New Roman" w:hAnsi="Verdana" w:cs="Times New Roman"/>
                                  <w:b/>
                                  <w:color w:val="000000"/>
                                  <w:sz w:val="20"/>
                                  <w:szCs w:val="20"/>
                                  <w:lang w:eastAsia="tr-TR"/>
                                </w:rPr>
                              </w:pPr>
                              <w:r w:rsidRPr="00964887">
                                <w:rPr>
                                  <w:rFonts w:ascii="Verdana" w:eastAsia="Times New Roman" w:hAnsi="Verdana" w:cs="Times New Roman"/>
                                  <w:b/>
                                  <w:color w:val="000000"/>
                                  <w:sz w:val="20"/>
                                  <w:szCs w:val="20"/>
                                  <w:lang w:eastAsia="tr-TR"/>
                                </w:rPr>
                                <w:t>Korunma önlemi</w:t>
                              </w:r>
                            </w:p>
                            <w:p w:rsidR="00964887" w:rsidRPr="00964887" w:rsidRDefault="00964887" w:rsidP="00964887">
                              <w:pPr>
                                <w:spacing w:after="0" w:line="230" w:lineRule="exact"/>
                                <w:ind w:firstLine="580"/>
                                <w:jc w:val="both"/>
                                <w:rPr>
                                  <w:rFonts w:ascii="Verdana" w:eastAsia="Times New Roman" w:hAnsi="Verdana" w:cs="Times New Roman"/>
                                  <w:color w:val="000000"/>
                                  <w:sz w:val="18"/>
                                  <w:szCs w:val="18"/>
                                  <w:lang w:eastAsia="tr-TR"/>
                                </w:rPr>
                              </w:pPr>
                              <w:r w:rsidRPr="00964887">
                                <w:rPr>
                                  <w:rFonts w:ascii="Verdana" w:eastAsia="Times New Roman" w:hAnsi="Verdana" w:cs="Times New Roman"/>
                                  <w:b/>
                                  <w:color w:val="000000"/>
                                  <w:sz w:val="20"/>
                                  <w:szCs w:val="20"/>
                                  <w:lang w:eastAsia="tr-TR"/>
                                </w:rPr>
                                <w:t>MADDE 2</w:t>
                              </w:r>
                              <w:r w:rsidRPr="00964887">
                                <w:rPr>
                                  <w:rFonts w:ascii="Verdana" w:eastAsia="Times New Roman" w:hAnsi="Verdana" w:cs="Times New Roman"/>
                                  <w:color w:val="000000"/>
                                  <w:sz w:val="20"/>
                                  <w:szCs w:val="20"/>
                                  <w:lang w:eastAsia="tr-TR"/>
                                </w:rPr>
                                <w:t>- (1) 5503.20.00.00.00 Gümrük Tarife İstatistik Pozisyonlu (GTİP) eşyanın İran menşeli olanlarının ithalatında aşağıda belirtildiği şekilde 3 (üç) yıl süreyle korunma önlemi olarak ek mali yükümlülük uygulanır.</w:t>
                              </w:r>
                            </w:p>
                            <w:p w:rsidR="00964887" w:rsidRPr="00964887" w:rsidRDefault="00964887" w:rsidP="00964887">
                              <w:pPr>
                                <w:spacing w:after="0" w:line="230" w:lineRule="exact"/>
                                <w:ind w:firstLine="580"/>
                                <w:jc w:val="both"/>
                                <w:rPr>
                                  <w:rFonts w:ascii="Verdana" w:eastAsia="Times New Roman" w:hAnsi="Verdana" w:cs="Times New Roman"/>
                                  <w:color w:val="000000"/>
                                  <w:sz w:val="18"/>
                                  <w:szCs w:val="18"/>
                                  <w:lang w:eastAsia="tr-TR"/>
                                </w:rPr>
                              </w:pPr>
                            </w:p>
                            <w:tbl>
                              <w:tblPr>
                                <w:tblW w:w="0" w:type="auto"/>
                                <w:jc w:val="center"/>
                                <w:tblCellMar>
                                  <w:left w:w="0" w:type="dxa"/>
                                  <w:right w:w="0" w:type="dxa"/>
                                </w:tblCellMar>
                                <w:tblLook w:val="04A0" w:firstRow="1" w:lastRow="0" w:firstColumn="1" w:lastColumn="0" w:noHBand="0" w:noVBand="1"/>
                              </w:tblPr>
                              <w:tblGrid>
                                <w:gridCol w:w="1822"/>
                                <w:gridCol w:w="1499"/>
                                <w:gridCol w:w="1375"/>
                                <w:gridCol w:w="1564"/>
                                <w:gridCol w:w="1418"/>
                              </w:tblGrid>
                              <w:tr w:rsidR="00964887" w:rsidRPr="00964887">
                                <w:trPr>
                                  <w:trHeight w:hRule="exact" w:val="396"/>
                                  <w:jc w:val="center"/>
                                </w:trPr>
                                <w:tc>
                                  <w:tcPr>
                                    <w:tcW w:w="1350" w:type="dxa"/>
                                    <w:tcBorders>
                                      <w:top w:val="single" w:sz="4" w:space="0" w:color="auto"/>
                                      <w:left w:val="nil"/>
                                      <w:bottom w:val="nil"/>
                                      <w:right w:val="nil"/>
                                    </w:tcBorders>
                                    <w:shd w:val="clear" w:color="auto" w:fill="FFFFFF"/>
                                  </w:tcPr>
                                  <w:p w:rsidR="00964887" w:rsidRPr="00964887" w:rsidRDefault="00964887" w:rsidP="00964887">
                                    <w:pPr>
                                      <w:spacing w:after="0" w:line="240" w:lineRule="auto"/>
                                      <w:rPr>
                                        <w:rFonts w:ascii="Verdana" w:eastAsia="Times New Roman" w:hAnsi="Verdana" w:cs="Times New Roman"/>
                                        <w:sz w:val="20"/>
                                        <w:szCs w:val="20"/>
                                        <w:lang w:eastAsia="tr-TR"/>
                                      </w:rPr>
                                    </w:pPr>
                                  </w:p>
                                </w:tc>
                                <w:tc>
                                  <w:tcPr>
                                    <w:tcW w:w="1256" w:type="dxa"/>
                                    <w:tcBorders>
                                      <w:top w:val="single" w:sz="4" w:space="0" w:color="auto"/>
                                      <w:left w:val="single" w:sz="4" w:space="0" w:color="auto"/>
                                      <w:bottom w:val="nil"/>
                                      <w:right w:val="nil"/>
                                    </w:tcBorders>
                                    <w:shd w:val="clear" w:color="auto" w:fill="FFFFFF"/>
                                  </w:tcPr>
                                  <w:p w:rsidR="00964887" w:rsidRPr="00964887" w:rsidRDefault="00964887" w:rsidP="00964887">
                                    <w:pPr>
                                      <w:spacing w:after="0" w:line="240" w:lineRule="auto"/>
                                      <w:rPr>
                                        <w:rFonts w:ascii="Verdana" w:eastAsia="Times New Roman" w:hAnsi="Verdana" w:cs="Times New Roman"/>
                                        <w:sz w:val="20"/>
                                        <w:szCs w:val="20"/>
                                        <w:lang w:eastAsia="tr-TR"/>
                                      </w:rPr>
                                    </w:pPr>
                                  </w:p>
                                </w:tc>
                                <w:tc>
                                  <w:tcPr>
                                    <w:tcW w:w="4071" w:type="dxa"/>
                                    <w:gridSpan w:val="3"/>
                                    <w:tcBorders>
                                      <w:top w:val="single" w:sz="4" w:space="0" w:color="auto"/>
                                      <w:left w:val="single" w:sz="4" w:space="0" w:color="auto"/>
                                      <w:bottom w:val="nil"/>
                                      <w:right w:val="single" w:sz="4" w:space="0" w:color="auto"/>
                                    </w:tcBorders>
                                    <w:shd w:val="clear" w:color="auto" w:fill="FFFFFF"/>
                                    <w:vAlign w:val="bottom"/>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Ek Mali Yükümlülük (Gümrük Kıymeti %)</w:t>
                                    </w:r>
                                  </w:p>
                                </w:tc>
                              </w:tr>
                              <w:tr w:rsidR="00964887" w:rsidRPr="00964887">
                                <w:trPr>
                                  <w:trHeight w:hRule="exact" w:val="392"/>
                                  <w:jc w:val="center"/>
                                </w:trPr>
                                <w:tc>
                                  <w:tcPr>
                                    <w:tcW w:w="1350" w:type="dxa"/>
                                    <w:tcBorders>
                                      <w:top w:val="nil"/>
                                      <w:left w:val="nil"/>
                                      <w:bottom w:val="nil"/>
                                      <w:right w:val="nil"/>
                                    </w:tcBorders>
                                    <w:shd w:val="clear" w:color="auto" w:fill="FFFFFF"/>
                                    <w:vAlign w:val="bottom"/>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GTİP</w:t>
                                    </w:r>
                                  </w:p>
                                </w:tc>
                                <w:tc>
                                  <w:tcPr>
                                    <w:tcW w:w="1256" w:type="dxa"/>
                                    <w:vMerge w:val="restart"/>
                                    <w:tcBorders>
                                      <w:top w:val="nil"/>
                                      <w:left w:val="single" w:sz="4" w:space="0" w:color="auto"/>
                                      <w:bottom w:val="nil"/>
                                      <w:right w:val="nil"/>
                                    </w:tcBorders>
                                    <w:shd w:val="clear" w:color="auto" w:fill="FFFFFF"/>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Eşyanın Tanımı</w:t>
                                    </w:r>
                                  </w:p>
                                </w:tc>
                                <w:tc>
                                  <w:tcPr>
                                    <w:tcW w:w="1375" w:type="dxa"/>
                                    <w:tcBorders>
                                      <w:top w:val="single" w:sz="4" w:space="0" w:color="auto"/>
                                      <w:left w:val="single" w:sz="4" w:space="0" w:color="auto"/>
                                      <w:bottom w:val="nil"/>
                                      <w:right w:val="nil"/>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1.Dönem</w:t>
                                    </w:r>
                                  </w:p>
                                </w:tc>
                                <w:tc>
                                  <w:tcPr>
                                    <w:tcW w:w="1278" w:type="dxa"/>
                                    <w:tcBorders>
                                      <w:top w:val="single" w:sz="4" w:space="0" w:color="auto"/>
                                      <w:left w:val="single" w:sz="4" w:space="0" w:color="auto"/>
                                      <w:bottom w:val="nil"/>
                                      <w:right w:val="nil"/>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2.D8nem</w:t>
                                    </w:r>
                                  </w:p>
                                </w:tc>
                                <w:tc>
                                  <w:tcPr>
                                    <w:tcW w:w="1418" w:type="dxa"/>
                                    <w:tcBorders>
                                      <w:top w:val="single" w:sz="4" w:space="0" w:color="auto"/>
                                      <w:left w:val="single" w:sz="4" w:space="0" w:color="auto"/>
                                      <w:bottom w:val="nil"/>
                                      <w:right w:val="single" w:sz="4" w:space="0" w:color="auto"/>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3.Dönem</w:t>
                                    </w:r>
                                  </w:p>
                                </w:tc>
                              </w:tr>
                              <w:tr w:rsidR="00964887" w:rsidRPr="00964887">
                                <w:trPr>
                                  <w:trHeight w:hRule="exact" w:val="619"/>
                                  <w:jc w:val="center"/>
                                </w:trPr>
                                <w:tc>
                                  <w:tcPr>
                                    <w:tcW w:w="1350" w:type="dxa"/>
                                    <w:tcBorders>
                                      <w:top w:val="nil"/>
                                      <w:left w:val="nil"/>
                                      <w:bottom w:val="nil"/>
                                      <w:right w:val="nil"/>
                                    </w:tcBorders>
                                    <w:shd w:val="clear" w:color="auto" w:fill="FFFFFF"/>
                                  </w:tcPr>
                                  <w:p w:rsidR="00964887" w:rsidRPr="00964887" w:rsidRDefault="00964887" w:rsidP="00964887">
                                    <w:pPr>
                                      <w:spacing w:after="0" w:line="240" w:lineRule="auto"/>
                                      <w:rPr>
                                        <w:rFonts w:ascii="Verdana" w:eastAsia="Times New Roman" w:hAnsi="Verdana" w:cs="Times New Roman"/>
                                        <w:sz w:val="20"/>
                                        <w:szCs w:val="20"/>
                                        <w:lang w:eastAsia="tr-TR"/>
                                      </w:rPr>
                                    </w:pPr>
                                  </w:p>
                                </w:tc>
                                <w:tc>
                                  <w:tcPr>
                                    <w:tcW w:w="0" w:type="auto"/>
                                    <w:vMerge/>
                                    <w:tcBorders>
                                      <w:top w:val="nil"/>
                                      <w:left w:val="single" w:sz="4" w:space="0" w:color="auto"/>
                                      <w:bottom w:val="nil"/>
                                      <w:right w:val="nil"/>
                                    </w:tcBorders>
                                    <w:vAlign w:val="center"/>
                                    <w:hideMark/>
                                  </w:tcPr>
                                  <w:p w:rsidR="00964887" w:rsidRPr="00964887" w:rsidRDefault="00964887" w:rsidP="00964887">
                                    <w:pPr>
                                      <w:spacing w:after="0" w:line="240" w:lineRule="auto"/>
                                      <w:rPr>
                                        <w:rFonts w:ascii="Verdana" w:eastAsia="Times New Roman" w:hAnsi="Verdana" w:cs="Times New Roman"/>
                                        <w:color w:val="000000"/>
                                        <w:sz w:val="20"/>
                                        <w:szCs w:val="20"/>
                                        <w:lang w:eastAsia="tr-TR"/>
                                      </w:rPr>
                                    </w:pPr>
                                  </w:p>
                                </w:tc>
                                <w:tc>
                                  <w:tcPr>
                                    <w:tcW w:w="1375" w:type="dxa"/>
                                    <w:tcBorders>
                                      <w:top w:val="single" w:sz="4" w:space="0" w:color="auto"/>
                                      <w:left w:val="single" w:sz="4" w:space="0" w:color="auto"/>
                                      <w:bottom w:val="nil"/>
                                      <w:right w:val="nil"/>
                                    </w:tcBorders>
                                    <w:shd w:val="clear" w:color="auto" w:fill="FFFFFF"/>
                                    <w:vAlign w:val="bottom"/>
                                    <w:hideMark/>
                                  </w:tcPr>
                                  <w:p w:rsidR="00964887" w:rsidRPr="00964887" w:rsidRDefault="00964887" w:rsidP="00964887">
                                    <w:pPr>
                                      <w:spacing w:after="6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w:t>
                                    </w:r>
                                    <w:proofErr w:type="gramStart"/>
                                    <w:r w:rsidRPr="00964887">
                                      <w:rPr>
                                        <w:rFonts w:ascii="Verdana" w:eastAsia="Times New Roman" w:hAnsi="Verdana" w:cs="Times New Roman"/>
                                        <w:color w:val="000000"/>
                                        <w:sz w:val="20"/>
                                        <w:szCs w:val="20"/>
                                        <w:lang w:eastAsia="tr-TR"/>
                                      </w:rPr>
                                      <w:t>21/9/2017</w:t>
                                    </w:r>
                                    <w:proofErr w:type="gramEnd"/>
                                    <w:r w:rsidRPr="00964887">
                                      <w:rPr>
                                        <w:rFonts w:ascii="Verdana" w:eastAsia="Times New Roman" w:hAnsi="Verdana" w:cs="Times New Roman"/>
                                        <w:color w:val="000000"/>
                                        <w:sz w:val="20"/>
                                        <w:szCs w:val="20"/>
                                        <w:lang w:eastAsia="tr-TR"/>
                                      </w:rPr>
                                      <w:t>-</w:t>
                                    </w:r>
                                  </w:p>
                                  <w:p w:rsidR="00964887" w:rsidRPr="00964887" w:rsidRDefault="00964887" w:rsidP="00964887">
                                    <w:pPr>
                                      <w:spacing w:before="60" w:after="0" w:line="170" w:lineRule="exact"/>
                                      <w:rPr>
                                        <w:rFonts w:ascii="Verdana" w:eastAsia="Times New Roman" w:hAnsi="Verdana" w:cs="Times New Roman"/>
                                        <w:color w:val="000000"/>
                                        <w:sz w:val="20"/>
                                        <w:szCs w:val="20"/>
                                        <w:lang w:eastAsia="tr-TR"/>
                                      </w:rPr>
                                    </w:pPr>
                                    <w:proofErr w:type="gramStart"/>
                                    <w:r w:rsidRPr="00964887">
                                      <w:rPr>
                                        <w:rFonts w:ascii="Verdana" w:eastAsia="Times New Roman" w:hAnsi="Verdana" w:cs="Times New Roman"/>
                                        <w:color w:val="000000"/>
                                        <w:sz w:val="20"/>
                                        <w:szCs w:val="20"/>
                                        <w:lang w:eastAsia="tr-TR"/>
                                      </w:rPr>
                                      <w:t>20/9/2018</w:t>
                                    </w:r>
                                    <w:proofErr w:type="gramEnd"/>
                                    <w:r w:rsidRPr="00964887">
                                      <w:rPr>
                                        <w:rFonts w:ascii="Verdana" w:eastAsia="Times New Roman" w:hAnsi="Verdana" w:cs="Times New Roman"/>
                                        <w:color w:val="000000"/>
                                        <w:sz w:val="20"/>
                                        <w:szCs w:val="20"/>
                                        <w:lang w:eastAsia="tr-TR"/>
                                      </w:rPr>
                                      <w:t>)</w:t>
                                    </w:r>
                                  </w:p>
                                </w:tc>
                                <w:tc>
                                  <w:tcPr>
                                    <w:tcW w:w="1278" w:type="dxa"/>
                                    <w:tcBorders>
                                      <w:top w:val="single" w:sz="4" w:space="0" w:color="auto"/>
                                      <w:left w:val="single" w:sz="4" w:space="0" w:color="auto"/>
                                      <w:bottom w:val="nil"/>
                                      <w:right w:val="nil"/>
                                    </w:tcBorders>
                                    <w:shd w:val="clear" w:color="auto" w:fill="FFFFFF"/>
                                    <w:vAlign w:val="bottom"/>
                                    <w:hideMark/>
                                  </w:tcPr>
                                  <w:p w:rsidR="00964887" w:rsidRPr="00964887" w:rsidRDefault="00964887" w:rsidP="00964887">
                                    <w:pPr>
                                      <w:spacing w:after="0" w:line="170" w:lineRule="exact"/>
                                      <w:ind w:left="300"/>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w:t>
                                    </w:r>
                                    <w:proofErr w:type="gramStart"/>
                                    <w:r w:rsidRPr="00964887">
                                      <w:rPr>
                                        <w:rFonts w:ascii="Verdana" w:eastAsia="Times New Roman" w:hAnsi="Verdana" w:cs="Times New Roman"/>
                                        <w:color w:val="000000"/>
                                        <w:sz w:val="20"/>
                                        <w:szCs w:val="20"/>
                                        <w:lang w:eastAsia="tr-TR"/>
                                      </w:rPr>
                                      <w:t>21/9/2018</w:t>
                                    </w:r>
                                    <w:proofErr w:type="gramEnd"/>
                                    <w:r w:rsidRPr="00964887">
                                      <w:rPr>
                                        <w:rFonts w:ascii="Verdana" w:eastAsia="Times New Roman" w:hAnsi="Verdana" w:cs="Times New Roman"/>
                                        <w:color w:val="000000"/>
                                        <w:sz w:val="20"/>
                                        <w:szCs w:val="20"/>
                                        <w:lang w:eastAsia="tr-TR"/>
                                      </w:rPr>
                                      <w:t>-</w:t>
                                    </w:r>
                                  </w:p>
                                  <w:p w:rsidR="00964887" w:rsidRPr="00964887" w:rsidRDefault="00964887" w:rsidP="00964887">
                                    <w:pPr>
                                      <w:spacing w:after="0" w:line="170" w:lineRule="exact"/>
                                      <w:rPr>
                                        <w:rFonts w:ascii="Verdana" w:eastAsia="Times New Roman" w:hAnsi="Verdana" w:cs="Times New Roman"/>
                                        <w:color w:val="000000"/>
                                        <w:sz w:val="20"/>
                                        <w:szCs w:val="20"/>
                                        <w:lang w:eastAsia="tr-TR"/>
                                      </w:rPr>
                                    </w:pPr>
                                    <w:proofErr w:type="gramStart"/>
                                    <w:r w:rsidRPr="00964887">
                                      <w:rPr>
                                        <w:rFonts w:ascii="Verdana" w:eastAsia="Times New Roman" w:hAnsi="Verdana" w:cs="Times New Roman"/>
                                        <w:color w:val="000000"/>
                                        <w:sz w:val="20"/>
                                        <w:szCs w:val="20"/>
                                        <w:lang w:eastAsia="tr-TR"/>
                                      </w:rPr>
                                      <w:t>20/9/2019</w:t>
                                    </w:r>
                                    <w:proofErr w:type="gramEnd"/>
                                    <w:r w:rsidRPr="00964887">
                                      <w:rPr>
                                        <w:rFonts w:ascii="Verdana" w:eastAsia="Times New Roman" w:hAnsi="Verdana" w:cs="Times New Roman"/>
                                        <w:color w:val="000000"/>
                                        <w:sz w:val="20"/>
                                        <w:szCs w:val="20"/>
                                        <w:lang w:eastAsia="tr-TR"/>
                                      </w:rPr>
                                      <w:t>)</w:t>
                                    </w:r>
                                  </w:p>
                                </w:tc>
                                <w:tc>
                                  <w:tcPr>
                                    <w:tcW w:w="1418" w:type="dxa"/>
                                    <w:tcBorders>
                                      <w:top w:val="single" w:sz="4" w:space="0" w:color="auto"/>
                                      <w:left w:val="single" w:sz="4" w:space="0" w:color="auto"/>
                                      <w:bottom w:val="nil"/>
                                      <w:right w:val="single" w:sz="4" w:space="0" w:color="auto"/>
                                    </w:tcBorders>
                                    <w:shd w:val="clear" w:color="auto" w:fill="FFFFFF"/>
                                    <w:vAlign w:val="bottom"/>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w:t>
                                    </w:r>
                                    <w:proofErr w:type="gramStart"/>
                                    <w:r w:rsidRPr="00964887">
                                      <w:rPr>
                                        <w:rFonts w:ascii="Verdana" w:eastAsia="Times New Roman" w:hAnsi="Verdana" w:cs="Times New Roman"/>
                                        <w:color w:val="000000"/>
                                        <w:sz w:val="20"/>
                                        <w:szCs w:val="20"/>
                                        <w:lang w:eastAsia="tr-TR"/>
                                      </w:rPr>
                                      <w:t>21/9/2019</w:t>
                                    </w:r>
                                    <w:proofErr w:type="gramEnd"/>
                                    <w:r w:rsidRPr="00964887">
                                      <w:rPr>
                                        <w:rFonts w:ascii="Verdana" w:eastAsia="Times New Roman" w:hAnsi="Verdana" w:cs="Times New Roman"/>
                                        <w:color w:val="000000"/>
                                        <w:sz w:val="20"/>
                                        <w:szCs w:val="20"/>
                                        <w:lang w:eastAsia="tr-TR"/>
                                      </w:rPr>
                                      <w:t>-</w:t>
                                    </w:r>
                                  </w:p>
                                  <w:p w:rsidR="00964887" w:rsidRPr="00964887" w:rsidRDefault="00964887" w:rsidP="00964887">
                                    <w:pPr>
                                      <w:spacing w:after="0" w:line="170" w:lineRule="exact"/>
                                      <w:rPr>
                                        <w:rFonts w:ascii="Verdana" w:eastAsia="Times New Roman" w:hAnsi="Verdana" w:cs="Times New Roman"/>
                                        <w:color w:val="000000"/>
                                        <w:sz w:val="20"/>
                                        <w:szCs w:val="20"/>
                                        <w:lang w:eastAsia="tr-TR"/>
                                      </w:rPr>
                                    </w:pPr>
                                    <w:proofErr w:type="gramStart"/>
                                    <w:r w:rsidRPr="00964887">
                                      <w:rPr>
                                        <w:rFonts w:ascii="Verdana" w:eastAsia="Times New Roman" w:hAnsi="Verdana" w:cs="Times New Roman"/>
                                        <w:color w:val="000000"/>
                                        <w:sz w:val="20"/>
                                        <w:szCs w:val="20"/>
                                        <w:lang w:eastAsia="tr-TR"/>
                                      </w:rPr>
                                      <w:t>20/9/2020</w:t>
                                    </w:r>
                                    <w:proofErr w:type="gramEnd"/>
                                    <w:r w:rsidRPr="00964887">
                                      <w:rPr>
                                        <w:rFonts w:ascii="Verdana" w:eastAsia="Times New Roman" w:hAnsi="Verdana" w:cs="Times New Roman"/>
                                        <w:color w:val="000000"/>
                                        <w:sz w:val="20"/>
                                        <w:szCs w:val="20"/>
                                        <w:lang w:eastAsia="tr-TR"/>
                                      </w:rPr>
                                      <w:t>)</w:t>
                                    </w:r>
                                  </w:p>
                                </w:tc>
                              </w:tr>
                              <w:tr w:rsidR="00964887" w:rsidRPr="00964887">
                                <w:trPr>
                                  <w:trHeight w:hRule="exact" w:val="486"/>
                                  <w:jc w:val="center"/>
                                </w:trPr>
                                <w:tc>
                                  <w:tcPr>
                                    <w:tcW w:w="1350" w:type="dxa"/>
                                    <w:tcBorders>
                                      <w:top w:val="single" w:sz="4" w:space="0" w:color="auto"/>
                                      <w:left w:val="nil"/>
                                      <w:bottom w:val="single" w:sz="4" w:space="0" w:color="auto"/>
                                      <w:right w:val="nil"/>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5503.20.00.00.00</w:t>
                                    </w:r>
                                  </w:p>
                                </w:tc>
                                <w:tc>
                                  <w:tcPr>
                                    <w:tcW w:w="1256" w:type="dxa"/>
                                    <w:tcBorders>
                                      <w:top w:val="single" w:sz="4" w:space="0" w:color="auto"/>
                                      <w:left w:val="single" w:sz="4" w:space="0" w:color="auto"/>
                                      <w:bottom w:val="single" w:sz="4" w:space="0" w:color="auto"/>
                                      <w:right w:val="nil"/>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proofErr w:type="spellStart"/>
                                    <w:r w:rsidRPr="00964887">
                                      <w:rPr>
                                        <w:rFonts w:ascii="Verdana" w:eastAsia="Times New Roman" w:hAnsi="Verdana" w:cs="Times New Roman"/>
                                        <w:color w:val="000000"/>
                                        <w:sz w:val="20"/>
                                        <w:szCs w:val="20"/>
                                        <w:lang w:eastAsia="tr-TR"/>
                                      </w:rPr>
                                      <w:t>Poliesterlerden</w:t>
                                    </w:r>
                                    <w:proofErr w:type="spellEnd"/>
                                  </w:p>
                                </w:tc>
                                <w:tc>
                                  <w:tcPr>
                                    <w:tcW w:w="1375" w:type="dxa"/>
                                    <w:tcBorders>
                                      <w:top w:val="single" w:sz="4" w:space="0" w:color="auto"/>
                                      <w:left w:val="single" w:sz="4" w:space="0" w:color="auto"/>
                                      <w:bottom w:val="single" w:sz="4" w:space="0" w:color="auto"/>
                                      <w:right w:val="nil"/>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%20</w:t>
                                    </w:r>
                                  </w:p>
                                </w:tc>
                                <w:tc>
                                  <w:tcPr>
                                    <w:tcW w:w="1278" w:type="dxa"/>
                                    <w:tcBorders>
                                      <w:top w:val="single" w:sz="4" w:space="0" w:color="auto"/>
                                      <w:left w:val="single" w:sz="4" w:space="0" w:color="auto"/>
                                      <w:bottom w:val="single" w:sz="4" w:space="0" w:color="auto"/>
                                      <w:right w:val="nil"/>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%19,5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64887" w:rsidRPr="00964887" w:rsidRDefault="00964887" w:rsidP="00964887">
                                    <w:pPr>
                                      <w:spacing w:after="0" w:line="170" w:lineRule="exact"/>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%19</w:t>
                                    </w:r>
                                  </w:p>
                                </w:tc>
                              </w:tr>
                            </w:tbl>
                            <w:p w:rsidR="00964887" w:rsidRPr="00964887" w:rsidRDefault="00964887" w:rsidP="00964887">
                              <w:pPr>
                                <w:framePr w:w="6678" w:wrap="notBeside" w:vAnchor="text" w:hAnchor="text" w:xAlign="center" w:y="1"/>
                                <w:spacing w:after="0" w:line="240" w:lineRule="auto"/>
                                <w:rPr>
                                  <w:rFonts w:ascii="Verdana" w:eastAsia="Times New Roman" w:hAnsi="Verdana" w:cs="Times New Roman"/>
                                  <w:color w:val="000000"/>
                                  <w:sz w:val="20"/>
                                  <w:szCs w:val="20"/>
                                  <w:lang w:eastAsia="tr-TR"/>
                                </w:rPr>
                              </w:pPr>
                            </w:p>
                            <w:p w:rsidR="00964887" w:rsidRPr="00964887" w:rsidRDefault="00964887" w:rsidP="00964887">
                              <w:pPr>
                                <w:spacing w:after="0" w:line="240" w:lineRule="auto"/>
                                <w:rPr>
                                  <w:rFonts w:ascii="Verdana" w:eastAsia="Times New Roman" w:hAnsi="Verdana" w:cs="Times New Roman"/>
                                  <w:color w:val="000000"/>
                                  <w:sz w:val="18"/>
                                  <w:szCs w:val="18"/>
                                  <w:lang w:eastAsia="tr-TR"/>
                                </w:rPr>
                              </w:pPr>
                              <w:r w:rsidRPr="00964887">
                                <w:rPr>
                                  <w:rFonts w:ascii="Verdana" w:eastAsia="Times New Roman" w:hAnsi="Verdana" w:cs="Times New Roman"/>
                                  <w:color w:val="000000"/>
                                  <w:sz w:val="18"/>
                                  <w:szCs w:val="18"/>
                                  <w:lang w:eastAsia="tr-TR"/>
                                </w:rPr>
                                <w:br w:type="textWrapping" w:clear="all"/>
                              </w:r>
                            </w:p>
                            <w:p w:rsidR="00964887" w:rsidRPr="00964887" w:rsidRDefault="00964887" w:rsidP="00964887">
                              <w:pPr>
                                <w:spacing w:after="0" w:line="240" w:lineRule="auto"/>
                                <w:rPr>
                                  <w:rFonts w:ascii="Verdana" w:eastAsia="Times New Roman" w:hAnsi="Verdana" w:cs="Times New Roman"/>
                                  <w:color w:val="000000"/>
                                  <w:sz w:val="20"/>
                                  <w:szCs w:val="20"/>
                                  <w:lang w:eastAsia="tr-TR"/>
                                </w:rPr>
                              </w:pPr>
                            </w:p>
                            <w:p w:rsidR="00964887" w:rsidRPr="00964887" w:rsidRDefault="00964887" w:rsidP="00964887">
                              <w:pPr>
                                <w:spacing w:before="144" w:after="0" w:line="230" w:lineRule="exact"/>
                                <w:ind w:firstLine="580"/>
                                <w:jc w:val="both"/>
                                <w:rPr>
                                  <w:rFonts w:ascii="Verdana" w:eastAsia="Times New Roman" w:hAnsi="Verdana" w:cs="Times New Roman"/>
                                  <w:b/>
                                  <w:color w:val="000000"/>
                                  <w:sz w:val="20"/>
                                  <w:szCs w:val="20"/>
                                  <w:lang w:eastAsia="tr-TR"/>
                                </w:rPr>
                              </w:pPr>
                              <w:r w:rsidRPr="00964887">
                                <w:rPr>
                                  <w:rFonts w:ascii="Verdana" w:eastAsia="Times New Roman" w:hAnsi="Verdana" w:cs="Times New Roman"/>
                                  <w:b/>
                                  <w:color w:val="000000"/>
                                  <w:sz w:val="20"/>
                                  <w:szCs w:val="20"/>
                                  <w:lang w:eastAsia="tr-TR"/>
                                </w:rPr>
                                <w:t>Ek mali yükümlülüğün tahsili</w:t>
                              </w:r>
                            </w:p>
                            <w:p w:rsidR="00964887" w:rsidRPr="00964887" w:rsidRDefault="00964887" w:rsidP="00964887">
                              <w:pPr>
                                <w:spacing w:after="0" w:line="230" w:lineRule="exact"/>
                                <w:ind w:firstLine="580"/>
                                <w:jc w:val="both"/>
                                <w:rPr>
                                  <w:rFonts w:ascii="Verdana" w:eastAsia="Times New Roman" w:hAnsi="Verdana" w:cs="Times New Roman"/>
                                  <w:color w:val="000000"/>
                                  <w:sz w:val="20"/>
                                  <w:szCs w:val="20"/>
                                  <w:lang w:eastAsia="tr-TR"/>
                                </w:rPr>
                              </w:pPr>
                              <w:r w:rsidRPr="00964887">
                                <w:rPr>
                                  <w:rFonts w:ascii="Verdana" w:eastAsia="Times New Roman" w:hAnsi="Verdana" w:cs="Times New Roman"/>
                                  <w:b/>
                                  <w:color w:val="000000"/>
                                  <w:sz w:val="20"/>
                                  <w:szCs w:val="20"/>
                                  <w:lang w:eastAsia="tr-TR"/>
                                </w:rPr>
                                <w:t>MADDE 3-</w:t>
                              </w:r>
                              <w:r w:rsidRPr="00964887">
                                <w:rPr>
                                  <w:rFonts w:ascii="Verdana" w:eastAsia="Times New Roman" w:hAnsi="Verdana" w:cs="Times New Roman"/>
                                  <w:color w:val="000000"/>
                                  <w:sz w:val="20"/>
                                  <w:szCs w:val="20"/>
                                  <w:lang w:eastAsia="tr-TR"/>
                                </w:rPr>
                                <w:t xml:space="preserve"> (1) Ek mali yükümlülük, gümrük idarelerince, ithalatta alınan gümrük vergileri ve diğer mali yükümlülüklerden ayrı olarak tahsil olunur ve genel bütçeye irat kaydedilir.</w:t>
                              </w:r>
                            </w:p>
                            <w:p w:rsidR="00964887" w:rsidRPr="00964887" w:rsidRDefault="00964887" w:rsidP="00964887">
                              <w:pPr>
                                <w:spacing w:after="0" w:line="230" w:lineRule="exact"/>
                                <w:ind w:firstLine="580"/>
                                <w:jc w:val="both"/>
                                <w:rPr>
                                  <w:rFonts w:ascii="Verdana" w:eastAsia="Times New Roman" w:hAnsi="Verdana" w:cs="Times New Roman"/>
                                  <w:color w:val="000000"/>
                                  <w:sz w:val="18"/>
                                  <w:szCs w:val="18"/>
                                  <w:lang w:eastAsia="tr-TR"/>
                                </w:rPr>
                              </w:pPr>
                              <w:r w:rsidRPr="00964887">
                                <w:rPr>
                                  <w:rFonts w:ascii="Verdana" w:eastAsia="Times New Roman" w:hAnsi="Verdana" w:cs="Times New Roman"/>
                                  <w:color w:val="000000"/>
                                  <w:sz w:val="20"/>
                                  <w:szCs w:val="20"/>
                                  <w:lang w:eastAsia="tr-TR"/>
                                </w:rPr>
                                <w:t xml:space="preserve">(2) Ek mali yükümlülüğün tahsilinde, </w:t>
                              </w:r>
                              <w:proofErr w:type="gramStart"/>
                              <w:r w:rsidRPr="00964887">
                                <w:rPr>
                                  <w:rFonts w:ascii="Verdana" w:eastAsia="Times New Roman" w:hAnsi="Verdana" w:cs="Times New Roman"/>
                                  <w:color w:val="000000"/>
                                  <w:sz w:val="20"/>
                                  <w:szCs w:val="20"/>
                                  <w:lang w:eastAsia="tr-TR"/>
                                </w:rPr>
                                <w:t>21/7/1953</w:t>
                              </w:r>
                              <w:proofErr w:type="gramEnd"/>
                              <w:r w:rsidRPr="00964887">
                                <w:rPr>
                                  <w:rFonts w:ascii="Verdana" w:eastAsia="Times New Roman" w:hAnsi="Verdana" w:cs="Times New Roman"/>
                                  <w:color w:val="000000"/>
                                  <w:sz w:val="20"/>
                                  <w:szCs w:val="20"/>
                                  <w:lang w:eastAsia="tr-TR"/>
                                </w:rPr>
                                <w:t xml:space="preserve"> tarihli ve 6183 sayılı Amme Alacaklarının Tahsil Usulü Hakkında Kanun hükümleri uygulanır.</w:t>
                              </w:r>
                            </w:p>
                            <w:p w:rsidR="00964887" w:rsidRPr="00964887" w:rsidRDefault="00964887" w:rsidP="00964887">
                              <w:pPr>
                                <w:spacing w:after="0" w:line="230" w:lineRule="exact"/>
                                <w:ind w:firstLine="580"/>
                                <w:jc w:val="both"/>
                                <w:rPr>
                                  <w:rFonts w:ascii="Verdana" w:eastAsia="Times New Roman" w:hAnsi="Verdana" w:cs="Times New Roman"/>
                                  <w:color w:val="000000"/>
                                  <w:sz w:val="18"/>
                                  <w:szCs w:val="18"/>
                                  <w:lang w:eastAsia="tr-TR"/>
                                </w:rPr>
                              </w:pPr>
                            </w:p>
                            <w:p w:rsidR="00964887" w:rsidRPr="00964887" w:rsidRDefault="00964887" w:rsidP="00964887">
                              <w:pPr>
                                <w:spacing w:after="0" w:line="230" w:lineRule="exact"/>
                                <w:ind w:firstLine="580"/>
                                <w:jc w:val="both"/>
                                <w:rPr>
                                  <w:rFonts w:ascii="Verdana" w:eastAsia="Times New Roman" w:hAnsi="Verdana" w:cs="Times New Roman"/>
                                  <w:b/>
                                  <w:color w:val="000000"/>
                                  <w:sz w:val="20"/>
                                  <w:szCs w:val="20"/>
                                  <w:lang w:eastAsia="tr-TR"/>
                                </w:rPr>
                              </w:pPr>
                              <w:r w:rsidRPr="00964887">
                                <w:rPr>
                                  <w:rFonts w:ascii="Verdana" w:eastAsia="Times New Roman" w:hAnsi="Verdana" w:cs="Times New Roman"/>
                                  <w:b/>
                                  <w:color w:val="000000"/>
                                  <w:sz w:val="20"/>
                                  <w:szCs w:val="20"/>
                                  <w:lang w:eastAsia="tr-TR"/>
                                </w:rPr>
                                <w:t>Diğer mevzuat</w:t>
                              </w:r>
                            </w:p>
                            <w:p w:rsidR="00964887" w:rsidRPr="00964887" w:rsidRDefault="00964887" w:rsidP="00964887">
                              <w:pPr>
                                <w:spacing w:after="0" w:line="230" w:lineRule="exact"/>
                                <w:ind w:firstLine="580"/>
                                <w:jc w:val="both"/>
                                <w:rPr>
                                  <w:rFonts w:ascii="Verdana" w:eastAsia="Times New Roman" w:hAnsi="Verdana" w:cs="Times New Roman"/>
                                  <w:color w:val="000000"/>
                                  <w:sz w:val="18"/>
                                  <w:szCs w:val="18"/>
                                  <w:lang w:eastAsia="tr-TR"/>
                                </w:rPr>
                              </w:pPr>
                              <w:r w:rsidRPr="00964887">
                                <w:rPr>
                                  <w:rFonts w:ascii="Verdana" w:eastAsia="Times New Roman" w:hAnsi="Verdana" w:cs="Times New Roman"/>
                                  <w:b/>
                                  <w:color w:val="000000"/>
                                  <w:sz w:val="20"/>
                                  <w:szCs w:val="20"/>
                                  <w:lang w:eastAsia="tr-TR"/>
                                </w:rPr>
                                <w:t>MADDE 4-</w:t>
                              </w:r>
                              <w:r w:rsidRPr="00964887">
                                <w:rPr>
                                  <w:rFonts w:ascii="Verdana" w:eastAsia="Times New Roman" w:hAnsi="Verdana" w:cs="Times New Roman"/>
                                  <w:color w:val="000000"/>
                                  <w:sz w:val="20"/>
                                  <w:szCs w:val="20"/>
                                  <w:lang w:eastAsia="tr-TR"/>
                                </w:rPr>
                                <w:t xml:space="preserve"> (1) </w:t>
                              </w:r>
                              <w:proofErr w:type="gramStart"/>
                              <w:r w:rsidRPr="00964887">
                                <w:rPr>
                                  <w:rFonts w:ascii="Verdana" w:eastAsia="Times New Roman" w:hAnsi="Verdana" w:cs="Times New Roman"/>
                                  <w:color w:val="000000"/>
                                  <w:sz w:val="20"/>
                                  <w:szCs w:val="20"/>
                                  <w:lang w:eastAsia="tr-TR"/>
                                </w:rPr>
                                <w:t>27/10/1999</w:t>
                              </w:r>
                              <w:proofErr w:type="gramEnd"/>
                              <w:r w:rsidRPr="00964887">
                                <w:rPr>
                                  <w:rFonts w:ascii="Verdana" w:eastAsia="Times New Roman" w:hAnsi="Verdana" w:cs="Times New Roman"/>
                                  <w:color w:val="000000"/>
                                  <w:sz w:val="20"/>
                                  <w:szCs w:val="20"/>
                                  <w:lang w:eastAsia="tr-TR"/>
                                </w:rPr>
                                <w:t xml:space="preserve"> tarihli ve 4458 sayılı Gümrük Kanunu ve ilgili diğer gümrük mevzuatının, gümrük vergisinin tesciline, tahakkukuna, tahsiline, geri verilmesine, takibine ve teminata bağlanmasına ilişkin usul ve şekle müteallik hükümleri, korunma önlemi olarak uygulanacak ek mali yükümlülüğün tescili, tahakkuku, tahsili, geri verilmesi, takibi ve teminata bağlanması işlemlerinde de uygulanır.</w:t>
                              </w:r>
                            </w:p>
                            <w:p w:rsidR="00964887" w:rsidRPr="00964887" w:rsidRDefault="00964887" w:rsidP="00964887">
                              <w:pPr>
                                <w:spacing w:after="0" w:line="230" w:lineRule="exact"/>
                                <w:ind w:firstLine="580"/>
                                <w:jc w:val="both"/>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18"/>
                                  <w:szCs w:val="18"/>
                                  <w:lang w:eastAsia="tr-TR"/>
                                </w:rPr>
                                <w:t> </w:t>
                              </w:r>
                            </w:p>
                            <w:p w:rsidR="00964887" w:rsidRPr="00964887" w:rsidRDefault="00964887" w:rsidP="00964887">
                              <w:pPr>
                                <w:spacing w:after="177" w:line="230" w:lineRule="exact"/>
                                <w:ind w:firstLine="580"/>
                                <w:jc w:val="both"/>
                                <w:rPr>
                                  <w:rFonts w:ascii="Verdana" w:eastAsia="Times New Roman" w:hAnsi="Verdana" w:cs="Times New Roman"/>
                                  <w:color w:val="000000"/>
                                  <w:sz w:val="20"/>
                                  <w:szCs w:val="20"/>
                                  <w:lang w:eastAsia="tr-TR"/>
                                </w:rPr>
                              </w:pPr>
                              <w:r w:rsidRPr="00964887">
                                <w:rPr>
                                  <w:rFonts w:ascii="Verdana" w:eastAsia="Times New Roman" w:hAnsi="Verdana" w:cs="Times New Roman"/>
                                  <w:color w:val="000000"/>
                                  <w:sz w:val="20"/>
                                  <w:szCs w:val="20"/>
                                  <w:lang w:eastAsia="tr-TR"/>
                                </w:rPr>
                                <w:t xml:space="preserve">(2) Diğer mevzuat hükümleri saklı kalmak kaydıyla, ek mali yükümlülükleri yerine getirmeden ithalat işlemlerini gerçekleştirenler hakkında, </w:t>
                              </w:r>
                              <w:proofErr w:type="gramStart"/>
                              <w:r w:rsidRPr="00964887">
                                <w:rPr>
                                  <w:rFonts w:ascii="Verdana" w:eastAsia="Times New Roman" w:hAnsi="Verdana" w:cs="Times New Roman"/>
                                  <w:color w:val="000000"/>
                                  <w:sz w:val="20"/>
                                  <w:szCs w:val="20"/>
                                  <w:lang w:eastAsia="tr-TR"/>
                                </w:rPr>
                                <w:t>2/2/1984</w:t>
                              </w:r>
                              <w:proofErr w:type="gramEnd"/>
                              <w:r w:rsidRPr="00964887">
                                <w:rPr>
                                  <w:rFonts w:ascii="Verdana" w:eastAsia="Times New Roman" w:hAnsi="Verdana" w:cs="Times New Roman"/>
                                  <w:color w:val="000000"/>
                                  <w:sz w:val="20"/>
                                  <w:szCs w:val="20"/>
                                  <w:lang w:eastAsia="tr-TR"/>
                                </w:rPr>
                                <w:t xml:space="preserve"> tarihli ve 2976 sayılı Dış Ticaretin Düzenlenmesi Hakkında Kanun çerçevesinde noksan ek mali yükümlülüğün iki katı para cezası uygulanır.</w:t>
                              </w:r>
                            </w:p>
                            <w:p w:rsidR="00964887" w:rsidRPr="00964887" w:rsidRDefault="00964887" w:rsidP="00964887">
                              <w:pPr>
                                <w:spacing w:after="0" w:line="234" w:lineRule="exact"/>
                                <w:ind w:firstLine="580"/>
                                <w:jc w:val="both"/>
                                <w:rPr>
                                  <w:rFonts w:ascii="Verdana" w:eastAsia="Times New Roman" w:hAnsi="Verdana" w:cs="Times New Roman"/>
                                  <w:b/>
                                  <w:color w:val="000000"/>
                                  <w:sz w:val="20"/>
                                  <w:szCs w:val="20"/>
                                  <w:lang w:eastAsia="tr-TR"/>
                                </w:rPr>
                              </w:pPr>
                              <w:r w:rsidRPr="00964887">
                                <w:rPr>
                                  <w:rFonts w:ascii="Verdana" w:eastAsia="Times New Roman" w:hAnsi="Verdana" w:cs="Times New Roman"/>
                                  <w:b/>
                                  <w:color w:val="000000"/>
                                  <w:sz w:val="20"/>
                                  <w:szCs w:val="20"/>
                                  <w:lang w:eastAsia="tr-TR"/>
                                </w:rPr>
                                <w:t>Yürürlük</w:t>
                              </w:r>
                            </w:p>
                            <w:p w:rsidR="00964887" w:rsidRPr="00964887" w:rsidRDefault="00964887" w:rsidP="00964887">
                              <w:pPr>
                                <w:spacing w:after="231" w:line="234" w:lineRule="exact"/>
                                <w:ind w:firstLine="580"/>
                                <w:jc w:val="both"/>
                                <w:rPr>
                                  <w:rFonts w:ascii="Verdana" w:eastAsia="Times New Roman" w:hAnsi="Verdana" w:cs="Times New Roman"/>
                                  <w:color w:val="000000"/>
                                  <w:sz w:val="20"/>
                                  <w:szCs w:val="20"/>
                                  <w:lang w:eastAsia="tr-TR"/>
                                </w:rPr>
                              </w:pPr>
                              <w:r w:rsidRPr="00964887">
                                <w:rPr>
                                  <w:rFonts w:ascii="Verdana" w:eastAsia="Times New Roman" w:hAnsi="Verdana" w:cs="Times New Roman"/>
                                  <w:b/>
                                  <w:color w:val="000000"/>
                                  <w:sz w:val="20"/>
                                  <w:szCs w:val="20"/>
                                  <w:lang w:eastAsia="tr-TR"/>
                                </w:rPr>
                                <w:t>MADDE 5</w:t>
                              </w:r>
                              <w:r w:rsidRPr="00964887">
                                <w:rPr>
                                  <w:rFonts w:ascii="Verdana" w:eastAsia="Times New Roman" w:hAnsi="Verdana" w:cs="Times New Roman"/>
                                  <w:color w:val="000000"/>
                                  <w:sz w:val="20"/>
                                  <w:szCs w:val="20"/>
                                  <w:lang w:eastAsia="tr-TR"/>
                                </w:rPr>
                                <w:t xml:space="preserve">- (1) Bu Karar, </w:t>
                              </w:r>
                              <w:proofErr w:type="gramStart"/>
                              <w:r w:rsidRPr="00964887">
                                <w:rPr>
                                  <w:rFonts w:ascii="Verdana" w:eastAsia="Times New Roman" w:hAnsi="Verdana" w:cs="Times New Roman"/>
                                  <w:color w:val="000000"/>
                                  <w:sz w:val="20"/>
                                  <w:szCs w:val="20"/>
                                  <w:lang w:eastAsia="tr-TR"/>
                                </w:rPr>
                                <w:t>21/9/2017</w:t>
                              </w:r>
                              <w:proofErr w:type="gramEnd"/>
                              <w:r w:rsidRPr="00964887">
                                <w:rPr>
                                  <w:rFonts w:ascii="Verdana" w:eastAsia="Times New Roman" w:hAnsi="Verdana" w:cs="Times New Roman"/>
                                  <w:color w:val="000000"/>
                                  <w:sz w:val="20"/>
                                  <w:szCs w:val="20"/>
                                  <w:lang w:eastAsia="tr-TR"/>
                                </w:rPr>
                                <w:t xml:space="preserve"> tarihinden geçerli olmak üzere yayımı tarihinde yürürlüğe girer.</w:t>
                              </w:r>
                            </w:p>
                            <w:p w:rsidR="00964887" w:rsidRPr="00964887" w:rsidRDefault="00964887" w:rsidP="00964887">
                              <w:pPr>
                                <w:spacing w:after="38" w:line="170" w:lineRule="exact"/>
                                <w:ind w:firstLine="580"/>
                                <w:jc w:val="both"/>
                                <w:rPr>
                                  <w:rFonts w:ascii="Verdana" w:eastAsia="Times New Roman" w:hAnsi="Verdana" w:cs="Times New Roman"/>
                                  <w:b/>
                                  <w:color w:val="000000"/>
                                  <w:sz w:val="20"/>
                                  <w:szCs w:val="20"/>
                                  <w:lang w:eastAsia="tr-TR"/>
                                </w:rPr>
                              </w:pPr>
                              <w:r w:rsidRPr="00964887">
                                <w:rPr>
                                  <w:rFonts w:ascii="Verdana" w:eastAsia="Times New Roman" w:hAnsi="Verdana" w:cs="Times New Roman"/>
                                  <w:b/>
                                  <w:color w:val="000000"/>
                                  <w:sz w:val="20"/>
                                  <w:szCs w:val="20"/>
                                  <w:lang w:eastAsia="tr-TR"/>
                                </w:rPr>
                                <w:t>Yürütme</w:t>
                              </w:r>
                            </w:p>
                            <w:p w:rsidR="00964887" w:rsidRPr="00964887" w:rsidRDefault="00964887" w:rsidP="00964887">
                              <w:pPr>
                                <w:spacing w:after="0" w:line="170" w:lineRule="exact"/>
                                <w:ind w:firstLine="580"/>
                                <w:jc w:val="both"/>
                                <w:rPr>
                                  <w:rFonts w:ascii="Verdana" w:eastAsia="Times New Roman" w:hAnsi="Verdana" w:cs="Times New Roman"/>
                                  <w:color w:val="000000"/>
                                  <w:sz w:val="20"/>
                                  <w:szCs w:val="20"/>
                                  <w:lang w:eastAsia="tr-TR"/>
                                </w:rPr>
                              </w:pPr>
                              <w:r w:rsidRPr="00964887">
                                <w:rPr>
                                  <w:rFonts w:ascii="Verdana" w:eastAsia="Times New Roman" w:hAnsi="Verdana" w:cs="Times New Roman"/>
                                  <w:b/>
                                  <w:color w:val="000000"/>
                                  <w:sz w:val="20"/>
                                  <w:szCs w:val="20"/>
                                  <w:lang w:eastAsia="tr-TR"/>
                                </w:rPr>
                                <w:t>MADDE 6</w:t>
                              </w:r>
                              <w:r w:rsidRPr="00964887">
                                <w:rPr>
                                  <w:rFonts w:ascii="Verdana" w:eastAsia="Times New Roman" w:hAnsi="Verdana" w:cs="Times New Roman"/>
                                  <w:color w:val="000000"/>
                                  <w:sz w:val="20"/>
                                  <w:szCs w:val="20"/>
                                  <w:lang w:eastAsia="tr-TR"/>
                                </w:rPr>
                                <w:t>- (1) Bu Karar hükümlerim Ekonomi Bakanı yürütür.</w:t>
                              </w:r>
                            </w:p>
                            <w:p w:rsidR="00964887" w:rsidRPr="00964887" w:rsidRDefault="00964887" w:rsidP="00964887">
                              <w:pPr>
                                <w:spacing w:after="0" w:line="240" w:lineRule="auto"/>
                                <w:rPr>
                                  <w:rFonts w:ascii="Verdana" w:eastAsia="Times New Roman" w:hAnsi="Verdana" w:cs="Times New Roman"/>
                                  <w:color w:val="000000"/>
                                  <w:sz w:val="18"/>
                                  <w:szCs w:val="18"/>
                                  <w:lang w:eastAsia="tr-TR"/>
                                </w:rPr>
                              </w:pPr>
                            </w:p>
                          </w:tc>
                        </w:tr>
                      </w:tbl>
                      <w:p w:rsidR="00964887" w:rsidRPr="00964887" w:rsidRDefault="00964887" w:rsidP="00964887">
                        <w:pPr>
                          <w:spacing w:after="0" w:line="240" w:lineRule="auto"/>
                          <w:rPr>
                            <w:rFonts w:ascii="Verdana" w:eastAsia="Times New Roman" w:hAnsi="Verdana" w:cs="Times New Roman"/>
                            <w:color w:val="FFFFFF"/>
                            <w:sz w:val="18"/>
                            <w:szCs w:val="18"/>
                            <w:lang w:eastAsia="tr-TR"/>
                          </w:rPr>
                        </w:pPr>
                      </w:p>
                    </w:tc>
                  </w:tr>
                  <w:tr w:rsidR="00964887" w:rsidRPr="00964887" w:rsidTr="00964887">
                    <w:trPr>
                      <w:trHeight w:val="180"/>
                      <w:tblCellSpacing w:w="0" w:type="dxa"/>
                      <w:hidden/>
                    </w:trPr>
                    <w:tc>
                      <w:tcPr>
                        <w:tcW w:w="0" w:type="auto"/>
                        <w:shd w:val="clear" w:color="auto" w:fill="104E83"/>
                        <w:hideMark/>
                      </w:tcPr>
                      <w:p w:rsidR="00964887" w:rsidRPr="00964887" w:rsidRDefault="00964887" w:rsidP="00964887">
                        <w:pPr>
                          <w:spacing w:after="0" w:line="240" w:lineRule="auto"/>
                          <w:rPr>
                            <w:rFonts w:ascii="Verdana" w:eastAsia="Times New Roman" w:hAnsi="Verdana" w:cs="Times New Roman"/>
                            <w:vanish/>
                            <w:color w:val="FFFFFF"/>
                            <w:sz w:val="18"/>
                            <w:szCs w:val="18"/>
                            <w:lang w:eastAsia="tr-TR"/>
                          </w:rPr>
                        </w:pPr>
                        <w:r w:rsidRPr="00964887">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964887">
                          <w:rPr>
                            <w:rFonts w:ascii="Verdana" w:eastAsia="Times New Roman" w:hAnsi="Verdana" w:cs="Times New Roman"/>
                            <w:vanish/>
                            <w:color w:val="FFFFFF"/>
                            <w:sz w:val="18"/>
                            <w:szCs w:val="18"/>
                            <w:lang w:eastAsia="tr-TR"/>
                          </w:rPr>
                          <w:t>  İlgili Mevzuatları Göster</w:t>
                        </w:r>
                      </w:p>
                    </w:tc>
                  </w:tr>
                  <w:tr w:rsidR="00964887" w:rsidRPr="00964887" w:rsidTr="00964887">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64887" w:rsidRPr="00964887">
                          <w:trPr>
                            <w:hidden/>
                          </w:trPr>
                          <w:tc>
                            <w:tcPr>
                              <w:tcW w:w="0" w:type="auto"/>
                              <w:vAlign w:val="center"/>
                              <w:hideMark/>
                            </w:tcPr>
                            <w:p w:rsidR="00964887" w:rsidRPr="00964887" w:rsidRDefault="00964887" w:rsidP="00964887">
                              <w:pPr>
                                <w:spacing w:after="0" w:line="240" w:lineRule="auto"/>
                                <w:rPr>
                                  <w:rFonts w:ascii="Verdana" w:eastAsia="Times New Roman" w:hAnsi="Verdana" w:cs="Times New Roman"/>
                                  <w:vanish/>
                                  <w:color w:val="FFFFFF"/>
                                  <w:sz w:val="18"/>
                                  <w:szCs w:val="18"/>
                                  <w:lang w:eastAsia="tr-TR"/>
                                </w:rPr>
                              </w:pPr>
                            </w:p>
                          </w:tc>
                        </w:tr>
                      </w:tbl>
                      <w:p w:rsidR="00964887" w:rsidRPr="00964887" w:rsidRDefault="00964887" w:rsidP="00964887">
                        <w:pPr>
                          <w:spacing w:after="0" w:line="240" w:lineRule="auto"/>
                          <w:rPr>
                            <w:rFonts w:ascii="Verdana" w:eastAsia="Times New Roman" w:hAnsi="Verdana" w:cs="Times New Roman"/>
                            <w:vanish/>
                            <w:color w:val="7AA6D3"/>
                            <w:sz w:val="18"/>
                            <w:szCs w:val="18"/>
                            <w:lang w:eastAsia="tr-TR"/>
                          </w:rPr>
                        </w:pPr>
                      </w:p>
                    </w:tc>
                  </w:tr>
                </w:tbl>
                <w:p w:rsidR="00964887" w:rsidRPr="00964887" w:rsidRDefault="00964887" w:rsidP="00964887">
                  <w:pPr>
                    <w:spacing w:after="0" w:line="240" w:lineRule="auto"/>
                    <w:rPr>
                      <w:rFonts w:ascii="Times New Roman" w:eastAsia="Times New Roman" w:hAnsi="Times New Roman" w:cs="Times New Roman"/>
                      <w:sz w:val="24"/>
                      <w:szCs w:val="24"/>
                      <w:lang w:eastAsia="tr-TR"/>
                    </w:rPr>
                  </w:pPr>
                  <w:bookmarkStart w:id="0" w:name="_GoBack"/>
                  <w:bookmarkEnd w:id="0"/>
                </w:p>
              </w:tc>
            </w:tr>
          </w:tbl>
          <w:p w:rsidR="00964887" w:rsidRPr="00964887" w:rsidRDefault="00964887" w:rsidP="00964887">
            <w:pPr>
              <w:spacing w:after="0" w:line="240" w:lineRule="auto"/>
              <w:rPr>
                <w:rFonts w:ascii="Times New Roman" w:eastAsia="Times New Roman" w:hAnsi="Times New Roman" w:cs="Times New Roman"/>
                <w:sz w:val="24"/>
                <w:szCs w:val="24"/>
                <w:lang w:eastAsia="tr-TR"/>
              </w:rPr>
            </w:pPr>
          </w:p>
        </w:tc>
      </w:tr>
    </w:tbl>
    <w:p w:rsidR="00964887" w:rsidRPr="00964887" w:rsidRDefault="00964887" w:rsidP="00964887">
      <w:pPr>
        <w:spacing w:after="0" w:line="240" w:lineRule="auto"/>
        <w:rPr>
          <w:rFonts w:ascii="Times New Roman" w:eastAsia="Times New Roman" w:hAnsi="Times New Roman" w:cs="Times New Roman"/>
          <w:sz w:val="24"/>
          <w:szCs w:val="24"/>
          <w:lang w:eastAsia="tr-TR"/>
        </w:rPr>
      </w:pPr>
      <w:r w:rsidRPr="00964887">
        <w:rPr>
          <w:rFonts w:ascii="Times New Roman" w:eastAsia="Times New Roman" w:hAnsi="Times New Roman" w:cs="Times New Roman"/>
          <w:sz w:val="24"/>
          <w:szCs w:val="24"/>
          <w:lang w:eastAsia="tr-TR"/>
        </w:rPr>
        <w:t xml:space="preserve">    </w:t>
      </w:r>
    </w:p>
    <w:p w:rsidR="00964887" w:rsidRPr="00964887" w:rsidRDefault="00964887" w:rsidP="00964887">
      <w:pPr>
        <w:spacing w:after="0" w:line="240" w:lineRule="auto"/>
        <w:rPr>
          <w:rFonts w:ascii="Times New Roman" w:eastAsia="Times New Roman" w:hAnsi="Times New Roman" w:cs="Times New Roman"/>
          <w:vanish/>
          <w:sz w:val="24"/>
          <w:szCs w:val="24"/>
          <w:lang w:eastAsia="tr-TR"/>
        </w:rPr>
      </w:pPr>
      <w:r w:rsidRPr="00964887">
        <w:rPr>
          <w:rFonts w:ascii="Times New Roman" w:eastAsia="Times New Roman" w:hAnsi="Times New Roman" w:cs="Times New Roman"/>
          <w:vanish/>
          <w:sz w:val="24"/>
          <w:szCs w:val="24"/>
          <w:lang w:eastAsia="tr-TR"/>
        </w:rPr>
        <w:object w:dxaOrig="1440" w:dyaOrig="1440">
          <v:shape id="_x0000_i1036" type="#_x0000_t75" style="width:36pt;height:22.5pt" o:ole="">
            <v:imagedata r:id="rId6" o:title=""/>
          </v:shape>
          <w:control r:id="rId7" w:name="DefaultOcxName2" w:shapeid="_x0000_i1036"/>
        </w:object>
      </w:r>
      <w:r w:rsidRPr="00964887">
        <w:rPr>
          <w:rFonts w:ascii="Times New Roman" w:eastAsia="Times New Roman" w:hAnsi="Times New Roman" w:cs="Times New Roman"/>
          <w:vanish/>
          <w:sz w:val="24"/>
          <w:szCs w:val="24"/>
          <w:lang w:eastAsia="tr-TR"/>
        </w:rPr>
        <w:object w:dxaOrig="1440" w:dyaOrig="1440">
          <v:shape id="_x0000_i1035" type="#_x0000_t75" style="width:1in;height:18pt" o:ole="">
            <v:imagedata r:id="rId8" o:title=""/>
          </v:shape>
          <w:control r:id="rId9" w:name="DefaultOcxName3" w:shapeid="_x0000_i1035"/>
        </w:object>
      </w:r>
    </w:p>
    <w:p w:rsidR="00146782" w:rsidRDefault="00964887" w:rsidP="00964887">
      <w:r w:rsidRPr="00964887">
        <w:rPr>
          <w:rFonts w:ascii="Times New Roman" w:eastAsia="Times New Roman" w:hAnsi="Times New Roman" w:cs="Times New Roman"/>
          <w:vanish/>
          <w:sz w:val="24"/>
          <w:szCs w:val="24"/>
          <w:lang w:eastAsia="tr-TR"/>
        </w:rPr>
        <w:pict/>
      </w:r>
    </w:p>
    <w:sectPr w:rsidR="00146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C5"/>
    <w:rsid w:val="00146782"/>
    <w:rsid w:val="00964887"/>
    <w:rsid w:val="00EF19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5A47B"/>
  <w15:chartTrackingRefBased/>
  <w15:docId w15:val="{7CF1CD72-30E1-487D-94E8-B5911CE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22312">
      <w:bodyDiv w:val="1"/>
      <w:marLeft w:val="0"/>
      <w:marRight w:val="0"/>
      <w:marTop w:val="0"/>
      <w:marBottom w:val="0"/>
      <w:divBdr>
        <w:top w:val="none" w:sz="0" w:space="0" w:color="auto"/>
        <w:left w:val="none" w:sz="0" w:space="0" w:color="auto"/>
        <w:bottom w:val="none" w:sz="0" w:space="0" w:color="auto"/>
        <w:right w:val="none" w:sz="0" w:space="0" w:color="auto"/>
      </w:divBdr>
      <w:divsChild>
        <w:div w:id="143513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2017-11-22T06:39:00Z</dcterms:created>
  <dcterms:modified xsi:type="dcterms:W3CDTF">2017-11-22T06:39:00Z</dcterms:modified>
</cp:coreProperties>
</file>