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BB" w:rsidRPr="00B71818" w:rsidRDefault="00ED5FBB" w:rsidP="00ED5FBB">
      <w:pPr>
        <w:pStyle w:val="default"/>
        <w:shd w:val="clear" w:color="auto" w:fill="FFFFFF"/>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w:t>
      </w:r>
      <w:r w:rsidRPr="00B71818">
        <w:rPr>
          <w:rFonts w:asciiTheme="minorHAnsi" w:eastAsiaTheme="minorHAnsi" w:hAnsiTheme="minorHAnsi" w:cstheme="minorBidi"/>
          <w:b/>
          <w:sz w:val="28"/>
          <w:szCs w:val="28"/>
          <w:lang w:eastAsia="en-US"/>
        </w:rPr>
        <w:t>Menşe ve Dolaşım Belgelerinin Doldurulması</w:t>
      </w:r>
    </w:p>
    <w:p w:rsidR="00ED5FBB" w:rsidRPr="00B71818"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71818">
        <w:rPr>
          <w:rFonts w:ascii="Trebuchet MS" w:eastAsiaTheme="minorHAnsi" w:hAnsi="Trebuchet MS" w:cstheme="minorBidi"/>
          <w:color w:val="666666"/>
          <w:sz w:val="23"/>
          <w:szCs w:val="23"/>
          <w:lang w:eastAsia="en-US"/>
        </w:rPr>
        <w:t>Muhatap ülke fark etmeksizin menşe şahadetnamelerine ilişkin Ticaret Bakanlığına ulaşan taleplerin değerlendirilmesi neticesinde;</w:t>
      </w:r>
    </w:p>
    <w:p w:rsidR="00ED5FBB" w:rsidRPr="00B71818"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71818">
        <w:rPr>
          <w:rFonts w:ascii="Trebuchet MS" w:eastAsiaTheme="minorHAnsi" w:hAnsi="Trebuchet MS" w:cstheme="minorBidi"/>
          <w:color w:val="666666"/>
          <w:sz w:val="23"/>
          <w:szCs w:val="23"/>
          <w:lang w:eastAsia="en-US"/>
        </w:rPr>
        <w:t>-1. Mısır'a yönelik düzenlenen menşe ispat ve dolaşım belgelerinde (EUR.1, EUR-MED, Menşe Şahadetnamesi) ACID uygulaması kapsamında talep edilebilecek tüm bilgileri, mezkûr belge üzerinde söz konusu bilgilerin yazılmasının mümkün olduğu bir haneye ihracatçı veya yasal temsilcisinin MEDOS üzerinden veya manuel usulde yapacağı belge başvurusu esnasında girmesi, vize işlemi tamamlanmış olmakla birlikte mezkûr bilgilerin sehven tatbik edilmediği belgeler için ise, ihracatçı tarafından söz konusu bilgilerin belgeler üzerine elle veya etiket ile tatbik edilmesinin,</w:t>
      </w:r>
    </w:p>
    <w:p w:rsidR="00ED5FBB" w:rsidRPr="00B71818"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71818">
        <w:rPr>
          <w:rFonts w:ascii="Trebuchet MS" w:eastAsiaTheme="minorHAnsi" w:hAnsi="Trebuchet MS" w:cstheme="minorBidi"/>
          <w:color w:val="666666"/>
          <w:sz w:val="23"/>
          <w:szCs w:val="23"/>
          <w:lang w:eastAsia="en-US"/>
        </w:rPr>
        <w:t>-2. Ülke ayrımı yapılmaksızın, ihracatçılar veya yasal temsilcileri tarafından talep edilmesi halinde eşyaya veya söz konusu eşyanın ihracına ilişkin diğer ilave bilgilerin menşe şahadetnamelerinin üzerinde söz konusu bilgilerin yazılmasının mümkün olduğu bir haneye belge başvuru esnasında girilmesinin,</w:t>
      </w:r>
    </w:p>
    <w:p w:rsidR="00ED5FBB" w:rsidRPr="00B71818"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71818">
        <w:rPr>
          <w:rFonts w:ascii="Trebuchet MS" w:eastAsiaTheme="minorHAnsi" w:hAnsi="Trebuchet MS" w:cstheme="minorBidi"/>
          <w:color w:val="666666"/>
          <w:sz w:val="23"/>
          <w:szCs w:val="23"/>
          <w:lang w:eastAsia="en-US"/>
        </w:rPr>
        <w:t>Uygun bulunduğu konulu Gümrükler</w:t>
      </w:r>
      <w:r>
        <w:rPr>
          <w:rFonts w:ascii="Trebuchet MS" w:eastAsiaTheme="minorHAnsi" w:hAnsi="Trebuchet MS" w:cstheme="minorBidi"/>
          <w:color w:val="666666"/>
          <w:sz w:val="23"/>
          <w:szCs w:val="23"/>
          <w:lang w:eastAsia="en-US"/>
        </w:rPr>
        <w:t xml:space="preserve"> Genel Müdürlüğü yazısı aşağıdaki linktedir.</w:t>
      </w:r>
    </w:p>
    <w:p w:rsidR="00ED5FBB" w:rsidRPr="00B71818" w:rsidRDefault="00ED5FBB" w:rsidP="00ED5FBB">
      <w:pPr>
        <w:pStyle w:val="default"/>
        <w:shd w:val="clear" w:color="auto" w:fill="FFFFFF"/>
        <w:rPr>
          <w:rStyle w:val="Kpr"/>
          <w:rFonts w:ascii="Calibri" w:hAnsi="Calibri" w:cs="Calibri"/>
          <w:color w:val="0563C1"/>
          <w:sz w:val="22"/>
          <w:szCs w:val="22"/>
        </w:rPr>
      </w:pPr>
      <w:hyperlink r:id="rId4" w:history="1">
        <w:r w:rsidRPr="00B71818">
          <w:rPr>
            <w:rStyle w:val="Kpr"/>
            <w:rFonts w:ascii="Calibri" w:hAnsi="Calibri" w:cs="Calibri"/>
            <w:color w:val="0563C1"/>
            <w:sz w:val="22"/>
            <w:szCs w:val="22"/>
          </w:rPr>
          <w:t>https://www.lojiblog.com/services/viewer.php?data=31177</w:t>
        </w:r>
      </w:hyperlink>
    </w:p>
    <w:p w:rsidR="00ED5FBB" w:rsidRPr="00B71818" w:rsidRDefault="00ED5FBB" w:rsidP="00ED5FBB">
      <w:pPr>
        <w:pStyle w:val="default"/>
        <w:shd w:val="clear" w:color="auto" w:fill="FFFFFF"/>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2-----</w:t>
      </w:r>
      <w:r w:rsidRPr="00B71818">
        <w:rPr>
          <w:rFonts w:asciiTheme="minorHAnsi" w:eastAsiaTheme="minorHAnsi" w:hAnsiTheme="minorHAnsi" w:cstheme="minorBidi"/>
          <w:b/>
          <w:sz w:val="28"/>
          <w:szCs w:val="28"/>
          <w:lang w:eastAsia="en-US"/>
        </w:rPr>
        <w:t>Geri Gelen Eşyada Ayniyet Önlemleri Konulu Genelge</w:t>
      </w:r>
    </w:p>
    <w:p w:rsidR="00ED5FBB" w:rsidRPr="00B71818"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71818">
        <w:rPr>
          <w:rFonts w:ascii="Trebuchet MS" w:eastAsiaTheme="minorHAnsi" w:hAnsi="Trebuchet MS" w:cstheme="minorBidi"/>
          <w:color w:val="666666"/>
          <w:sz w:val="23"/>
          <w:szCs w:val="23"/>
          <w:lang w:eastAsia="en-US"/>
        </w:rPr>
        <w:t>Dâhilde işleme rejimi kapsamı eşyanın ayniyetine yönelik işlemler saklı kalmak kaydıyla, Yetkilendirilmiş Yükümlü Statüsünü haiz kişilerce geri gelen eşya olarak beyan edilen eşyanın yeşil hatta işlem görmesi durumunda ayniyet tespitine gerek bulunmadığı, eşyanın teslimini müteakip ayniyet tespitine ihtiyaç duyulan hallerde ise, bu tespitin, firma kayıtları üzerinden gerçekleştirilmesi gerektiği konul</w:t>
      </w:r>
      <w:r>
        <w:rPr>
          <w:rFonts w:ascii="Trebuchet MS" w:eastAsiaTheme="minorHAnsi" w:hAnsi="Trebuchet MS" w:cstheme="minorBidi"/>
          <w:color w:val="666666"/>
          <w:sz w:val="23"/>
          <w:szCs w:val="23"/>
          <w:lang w:eastAsia="en-US"/>
        </w:rPr>
        <w:t>u 2024/22 sayılı Genelge aşağıdaki linktedir.</w:t>
      </w:r>
    </w:p>
    <w:p w:rsidR="00ED5FBB" w:rsidRDefault="00ED5FBB" w:rsidP="00ED5FBB">
      <w:hyperlink r:id="rId5" w:history="1">
        <w:r w:rsidRPr="003232D3">
          <w:rPr>
            <w:rStyle w:val="Kpr"/>
          </w:rPr>
          <w:t>https://www.lojiblog.com/services/viewer.php?data=31369</w:t>
        </w:r>
      </w:hyperlink>
    </w:p>
    <w:p w:rsidR="00ED5FBB" w:rsidRDefault="00ED5FBB" w:rsidP="00ED5FBB">
      <w:pPr>
        <w:rPr>
          <w:rFonts w:ascii="Trebuchet MS" w:hAnsi="Trebuchet MS"/>
          <w:color w:val="009CDE"/>
          <w:sz w:val="36"/>
          <w:szCs w:val="36"/>
          <w:shd w:val="clear" w:color="auto" w:fill="FFFFFF"/>
        </w:rPr>
      </w:pPr>
      <w:r>
        <w:rPr>
          <w:b/>
          <w:sz w:val="28"/>
          <w:szCs w:val="28"/>
        </w:rPr>
        <w:t>3-----</w:t>
      </w:r>
      <w:r w:rsidRPr="00B71818">
        <w:rPr>
          <w:b/>
          <w:sz w:val="28"/>
          <w:szCs w:val="28"/>
        </w:rPr>
        <w:t>ATR Dolaşım Belgesi Aslının Geç ibrazı kaynaklı Yazılan Cezanın İptali</w:t>
      </w:r>
    </w:p>
    <w:p w:rsidR="00ED5FBB" w:rsidRPr="00B71818"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71818">
        <w:rPr>
          <w:rFonts w:ascii="Trebuchet MS" w:eastAsiaTheme="minorHAnsi" w:hAnsi="Trebuchet MS" w:cstheme="minorBidi"/>
          <w:color w:val="666666"/>
          <w:sz w:val="23"/>
          <w:szCs w:val="23"/>
          <w:lang w:eastAsia="en-US"/>
        </w:rPr>
        <w:t>OKS-YYS Sahibi firmanın, Gümrük İşlemlerinin Kolaylaştırılması Yönetmeliğinin 19. Maddesinde sayılan basitleştirmeden faydalanarak ATR dolaşım belgesini sonradan ibraz edeceğini beyan ederek gümrük işlemlerini tamamlaması, ancak, ATR Dolaşım Belgesinin aslının verilen süreden sonra ibraz edilmesi nedeniyle Gümrük Kanununun 234. Maddesine istinaden yazılan cezanın iptal</w:t>
      </w:r>
      <w:r>
        <w:rPr>
          <w:rFonts w:ascii="Trebuchet MS" w:eastAsiaTheme="minorHAnsi" w:hAnsi="Trebuchet MS" w:cstheme="minorBidi"/>
          <w:color w:val="666666"/>
          <w:sz w:val="23"/>
          <w:szCs w:val="23"/>
          <w:lang w:eastAsia="en-US"/>
        </w:rPr>
        <w:t>i hakkındaki mahkeme Kararı aşağıdaki linktedir.</w:t>
      </w:r>
    </w:p>
    <w:p w:rsidR="00ED5FBB" w:rsidRDefault="00ED5FBB" w:rsidP="00ED5FBB">
      <w:hyperlink r:id="rId6" w:history="1">
        <w:r w:rsidRPr="003232D3">
          <w:rPr>
            <w:rStyle w:val="Kpr"/>
          </w:rPr>
          <w:t>https://www.lojiblog.com/services/viewer.php?data=31561</w:t>
        </w:r>
      </w:hyperlink>
    </w:p>
    <w:p w:rsidR="00ED5FBB" w:rsidRPr="00B71818" w:rsidRDefault="00ED5FBB" w:rsidP="00ED5FBB">
      <w:pPr>
        <w:rPr>
          <w:b/>
          <w:sz w:val="28"/>
          <w:szCs w:val="28"/>
        </w:rPr>
      </w:pPr>
      <w:r>
        <w:rPr>
          <w:b/>
          <w:sz w:val="28"/>
          <w:szCs w:val="28"/>
        </w:rPr>
        <w:t>4-----</w:t>
      </w:r>
      <w:r w:rsidRPr="00B71818">
        <w:rPr>
          <w:b/>
          <w:sz w:val="28"/>
          <w:szCs w:val="28"/>
        </w:rPr>
        <w:t>AB İthalat Kontrol Sistemine (ICS2) İlişkin Güncel Duyuru Metni ve Sık Sorulan Sorular</w:t>
      </w:r>
    </w:p>
    <w:p w:rsidR="00ED5FBB" w:rsidRPr="00B71818"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B71818">
        <w:rPr>
          <w:rFonts w:ascii="Trebuchet MS" w:eastAsiaTheme="minorHAnsi" w:hAnsi="Trebuchet MS" w:cstheme="minorBidi"/>
          <w:color w:val="666666"/>
          <w:sz w:val="23"/>
          <w:szCs w:val="23"/>
          <w:lang w:eastAsia="en-US"/>
        </w:rPr>
        <w:t>Ticaret Bakanlığının (AB) İthalat Kontrol Sistemine (ICS2) İlişkin Duyuru Metni ve Sık Sorulan Sorular ile ilgili güncel duyuru metnine aşağıdaki linkten ulaşılabilir.</w:t>
      </w:r>
    </w:p>
    <w:p w:rsidR="00ED5FBB" w:rsidRDefault="00ED5FBB" w:rsidP="00ED5FBB">
      <w:pPr>
        <w:pStyle w:val="NormalWeb"/>
        <w:shd w:val="clear" w:color="auto" w:fill="FFFFFF"/>
        <w:spacing w:before="0" w:beforeAutospacing="0" w:after="160" w:afterAutospacing="0"/>
        <w:rPr>
          <w:rFonts w:ascii="Calibri" w:hAnsi="Calibri" w:cs="Calibri"/>
          <w:color w:val="666666"/>
          <w:sz w:val="22"/>
          <w:szCs w:val="22"/>
        </w:rPr>
      </w:pPr>
      <w:hyperlink r:id="rId7" w:history="1">
        <w:r>
          <w:rPr>
            <w:rStyle w:val="Kpr"/>
            <w:rFonts w:ascii="Calibri" w:hAnsi="Calibri" w:cs="Calibri"/>
            <w:color w:val="0563C1"/>
            <w:sz w:val="22"/>
            <w:szCs w:val="22"/>
          </w:rPr>
          <w:t>https://ticaret.gov.tr/duyurular/ab-ithalat-kontrol-sistemine-ics2-iliskin-guncel-duyuru-metni-ve-sik-sorulan-sorular</w:t>
        </w:r>
      </w:hyperlink>
    </w:p>
    <w:p w:rsidR="00ED5FBB" w:rsidRPr="001614D5" w:rsidRDefault="00ED5FBB" w:rsidP="00ED5FBB">
      <w:pPr>
        <w:rPr>
          <w:b/>
          <w:sz w:val="28"/>
          <w:szCs w:val="28"/>
        </w:rPr>
      </w:pPr>
      <w:r>
        <w:rPr>
          <w:b/>
          <w:sz w:val="28"/>
          <w:szCs w:val="28"/>
        </w:rPr>
        <w:t>5-----</w:t>
      </w:r>
      <w:r w:rsidRPr="001614D5">
        <w:rPr>
          <w:b/>
          <w:sz w:val="28"/>
          <w:szCs w:val="28"/>
        </w:rPr>
        <w:t xml:space="preserve">Yabancı Firma </w:t>
      </w:r>
      <w:r>
        <w:rPr>
          <w:b/>
          <w:sz w:val="28"/>
          <w:szCs w:val="28"/>
        </w:rPr>
        <w:t>Kayıt Sistemi</w:t>
      </w:r>
    </w:p>
    <w:p w:rsidR="00ED5FBB" w:rsidRPr="001614D5"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lastRenderedPageBreak/>
        <w:t>-Ticaret Bakanlığının 2019/24 sayılı Genelgesi ile ithalat denetimlerinin etkinliği ile ülkemize ihracat yapan yurtdışındaki yabancı firmaların izlenebilirliğinin arttırılması amacıyla Yabancı Firma Kayıt Sistemi (YFKS) oluşturulduğu,</w:t>
      </w:r>
    </w:p>
    <w:p w:rsidR="00ED5FBB" w:rsidRPr="001614D5"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-Gümrük idaresine ibraz edilen beyanname çıktısında yer alan gönderici unvanı numarasının BİLGE Sistemindeki kayıtla arasında farklılık bulunmaması gerektiği,</w:t>
      </w:r>
    </w:p>
    <w:p w:rsidR="00ED5FBB" w:rsidRPr="001614D5"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-Konuyla ilgili olarak, BİLGE Sisteminde beyanda bulunulurken beyannamenin asıl ithalatçısından farkı firmanın YFKS numarasının beyan edilmesi sebebiyle hatalı beyanda bulunulduğu ancak beyanname çıktısında ise doğru firmanın kayıtlı olması sebebiyle uyumsuzluklar yaşanabildiği,</w:t>
      </w:r>
    </w:p>
    <w:p w:rsidR="00ED5FBB" w:rsidRPr="001614D5"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-Bu çerçevede, BİLGE Sisteminde beyanda bulunurken YFKS numaralarının Ticaret Bakanlığı sisteminden kontrol edilerek hatalı beyanın önüne geçilmesi konusunda bilgilendirme yapılması gerektiği.</w:t>
      </w:r>
    </w:p>
    <w:p w:rsidR="00ED5FBB" w:rsidRPr="001614D5"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Konulu Gümrükler</w:t>
      </w:r>
      <w:r>
        <w:rPr>
          <w:rFonts w:ascii="Trebuchet MS" w:hAnsi="Trebuchet MS"/>
          <w:color w:val="666666"/>
          <w:sz w:val="23"/>
          <w:szCs w:val="23"/>
        </w:rPr>
        <w:t xml:space="preserve"> Genel Müdürlüğü yazısı aşağıdaki linktedir.</w:t>
      </w:r>
    </w:p>
    <w:p w:rsidR="00ED5FBB" w:rsidRDefault="00ED5FBB" w:rsidP="00ED5FBB">
      <w:hyperlink r:id="rId8" w:history="1">
        <w:r w:rsidRPr="00D93C07">
          <w:rPr>
            <w:rStyle w:val="Kpr"/>
          </w:rPr>
          <w:t>https://www.lojiblog.com/services/viewer.php?data=31945</w:t>
        </w:r>
      </w:hyperlink>
    </w:p>
    <w:p w:rsidR="00ED5FBB" w:rsidRPr="001614D5" w:rsidRDefault="00ED5FBB" w:rsidP="00ED5FBB">
      <w:pPr>
        <w:rPr>
          <w:b/>
          <w:sz w:val="28"/>
          <w:szCs w:val="28"/>
        </w:rPr>
      </w:pPr>
      <w:r>
        <w:rPr>
          <w:b/>
          <w:sz w:val="28"/>
          <w:szCs w:val="28"/>
        </w:rPr>
        <w:t>6-----</w:t>
      </w:r>
      <w:r w:rsidRPr="001614D5">
        <w:rPr>
          <w:b/>
          <w:sz w:val="28"/>
          <w:szCs w:val="28"/>
        </w:rPr>
        <w:t>Kapsam Dışı Olarak Beyan Edilen Ürünlere YGM Raporu Konusunda Açıklama Yazısı</w:t>
      </w:r>
    </w:p>
    <w:p w:rsidR="00ED5FBB" w:rsidRPr="00A63E67" w:rsidRDefault="00ED5FBB" w:rsidP="00ED5FBB">
      <w:pPr>
        <w:shd w:val="clear" w:color="auto" w:fill="FFFFFF"/>
        <w:spacing w:line="285" w:lineRule="atLeast"/>
        <w:rPr>
          <w:rFonts w:ascii="Trebuchet MS" w:hAnsi="Trebuchet MS"/>
          <w:color w:val="666666"/>
          <w:sz w:val="23"/>
          <w:szCs w:val="23"/>
        </w:rPr>
      </w:pPr>
      <w:r w:rsidRPr="00A63E67">
        <w:rPr>
          <w:rFonts w:ascii="Trebuchet MS" w:hAnsi="Trebuchet MS"/>
          <w:color w:val="666666"/>
          <w:sz w:val="23"/>
          <w:szCs w:val="23"/>
        </w:rPr>
        <w:t>2024/5 Sayılı </w:t>
      </w:r>
      <w:bookmarkStart w:id="0" w:name="_hlk175413770"/>
      <w:r w:rsidRPr="00A63E67">
        <w:rPr>
          <w:rFonts w:ascii="Trebuchet MS" w:hAnsi="Trebuchet MS"/>
          <w:color w:val="666666"/>
          <w:sz w:val="23"/>
          <w:szCs w:val="23"/>
        </w:rPr>
        <w:t>‘’Tarım Ve Orman Bakanlığının Kontrolüne Tabi Ürünlerin İthalat Denetimi Tebliği</w:t>
      </w:r>
      <w:bookmarkEnd w:id="0"/>
      <w:r w:rsidRPr="00A63E67">
        <w:rPr>
          <w:rFonts w:ascii="Trebuchet MS" w:hAnsi="Trebuchet MS"/>
          <w:color w:val="666666"/>
          <w:sz w:val="23"/>
          <w:szCs w:val="23"/>
        </w:rPr>
        <w:t>’’ Kapsamında </w:t>
      </w:r>
      <w:r w:rsidRPr="001614D5">
        <w:rPr>
          <w:rFonts w:ascii="Trebuchet MS" w:hAnsi="Trebuchet MS"/>
          <w:color w:val="666666"/>
          <w:sz w:val="23"/>
          <w:szCs w:val="23"/>
        </w:rPr>
        <w:t>kapsam dışı tareks referans numarası beyan edilerek</w:t>
      </w:r>
      <w:r w:rsidRPr="00A63E67">
        <w:rPr>
          <w:rFonts w:ascii="Trebuchet MS" w:hAnsi="Trebuchet MS"/>
          <w:color w:val="666666"/>
          <w:sz w:val="23"/>
          <w:szCs w:val="23"/>
        </w:rPr>
        <w:t> İthal edilen eşyanın serbest dolaşıma girişi sonrası beyana uygun kullanım, teslim veya işleme konu edilip edilmediğinin tespiti hakkında düzenlenecek YGM raporları ile ilgili Gümrükler Genel Müdürlüğünce yayıml</w:t>
      </w:r>
      <w:r>
        <w:rPr>
          <w:rFonts w:ascii="Trebuchet MS" w:hAnsi="Trebuchet MS"/>
          <w:color w:val="666666"/>
          <w:sz w:val="23"/>
          <w:szCs w:val="23"/>
        </w:rPr>
        <w:t>anan 2. Açıklama yazısı aşağıdaki linktedir.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1/1/2024-31/10/2024</w:t>
      </w:r>
      <w:r w:rsidRPr="00A63E67">
        <w:rPr>
          <w:rFonts w:ascii="Trebuchet MS" w:hAnsi="Trebuchet MS"/>
          <w:color w:val="666666"/>
          <w:sz w:val="23"/>
          <w:szCs w:val="23"/>
        </w:rPr>
        <w:t> tarihleri arasında tescil edilen beyannameler kapsamında yapılacak tespitlere ilişkin yetkilendirilmiş gümrük müşaviri raporlarının, süre uzatımına ilişkin hususlar saklı kalmak kaydıyla </w:t>
      </w:r>
      <w:r w:rsidRPr="001614D5">
        <w:rPr>
          <w:rFonts w:ascii="Trebuchet MS" w:hAnsi="Trebuchet MS"/>
          <w:color w:val="666666"/>
          <w:sz w:val="23"/>
          <w:szCs w:val="23"/>
        </w:rPr>
        <w:t>30/4/2025 (dâhil)</w:t>
      </w:r>
      <w:r w:rsidRPr="00A63E67">
        <w:rPr>
          <w:rFonts w:ascii="Trebuchet MS" w:hAnsi="Trebuchet MS"/>
          <w:color w:val="666666"/>
          <w:sz w:val="23"/>
          <w:szCs w:val="23"/>
        </w:rPr>
        <w:t> tarihine kadar düzenlenmesi uygun bulunmuş olup önemli hususlar aşağıdadır.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1---</w:t>
      </w:r>
      <w:r w:rsidRPr="00A63E67">
        <w:rPr>
          <w:rFonts w:ascii="Trebuchet MS" w:hAnsi="Trebuchet MS"/>
          <w:color w:val="666666"/>
          <w:sz w:val="23"/>
          <w:szCs w:val="23"/>
        </w:rPr>
        <w:t>Eşyanın iç piyasada satışı sonrası kullanımının tespitine ilişkin tereddütlerin giderilmesini teminen;</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---Sabit referans numarası beyan edilerek serbest dolaşıma giren eşyanın </w:t>
      </w:r>
      <w:r w:rsidRPr="001614D5">
        <w:rPr>
          <w:rFonts w:ascii="Trebuchet MS" w:hAnsi="Trebuchet MS"/>
          <w:color w:val="666666"/>
          <w:sz w:val="23"/>
          <w:szCs w:val="23"/>
        </w:rPr>
        <w:t>ithalatçısı tarafından herhangi bir kullanım veya işleme konu e</w:t>
      </w:r>
      <w:r>
        <w:rPr>
          <w:rFonts w:ascii="Trebuchet MS" w:hAnsi="Trebuchet MS"/>
          <w:color w:val="666666"/>
          <w:sz w:val="23"/>
          <w:szCs w:val="23"/>
        </w:rPr>
        <w:t>dilmeden satılması halinde, yazı ekinde</w:t>
      </w:r>
      <w:r w:rsidRPr="001614D5">
        <w:rPr>
          <w:rFonts w:ascii="Trebuchet MS" w:hAnsi="Trebuchet MS"/>
          <w:color w:val="666666"/>
          <w:sz w:val="23"/>
          <w:szCs w:val="23"/>
        </w:rPr>
        <w:t xml:space="preserve"> yer verilen yazı örneğine uygun bir şekilde alıcının mukim bulunduğu ilin Tarım ve Orman Müdürlüğüne YGM tarafından bildirimde bulunulması ve söz konusu bildirimin YGM raporunda belirtilerek raporun sonlandırılması gerekmektedir.</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 xml:space="preserve">---2024/5 sayılı Tebliğin 10/6 </w:t>
      </w:r>
      <w:proofErr w:type="spellStart"/>
      <w:r w:rsidRPr="00A63E67">
        <w:rPr>
          <w:rFonts w:ascii="Trebuchet MS" w:hAnsi="Trebuchet MS"/>
          <w:color w:val="666666"/>
          <w:sz w:val="23"/>
          <w:szCs w:val="23"/>
        </w:rPr>
        <w:t>ncı</w:t>
      </w:r>
      <w:proofErr w:type="spellEnd"/>
      <w:r w:rsidRPr="00A63E67">
        <w:rPr>
          <w:rFonts w:ascii="Trebuchet MS" w:hAnsi="Trebuchet MS"/>
          <w:color w:val="666666"/>
          <w:sz w:val="23"/>
          <w:szCs w:val="23"/>
        </w:rPr>
        <w:t xml:space="preserve"> maddesine göre eşyanın serbest dolaşıma girişi sonrası beyana uygun kullanım, teslim veya işleme konu edilmesinden ithalatçı sorumlu olduğundan, Tarım ve Orman Bakanlığı yetkili birimlerince yapılan iç piyasa denetimleri sonucunda, eşyanın yapılan beyanın aksine bir kullanım, teslim veya işleme konu edildiğinin tespit edilerek gümrük idaresine bildirilmesi halinde </w:t>
      </w:r>
      <w:r w:rsidRPr="001614D5">
        <w:rPr>
          <w:rFonts w:ascii="Trebuchet MS" w:hAnsi="Trebuchet MS"/>
          <w:color w:val="666666"/>
          <w:sz w:val="23"/>
          <w:szCs w:val="23"/>
        </w:rPr>
        <w:t>4458 sayılı Gümrük Kanununun 235/1(c) maddesi kapsamında işlem yapılması gerekmektedir.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2---</w:t>
      </w:r>
      <w:r w:rsidRPr="00A63E67">
        <w:rPr>
          <w:rFonts w:ascii="Trebuchet MS" w:hAnsi="Trebuchet MS"/>
          <w:color w:val="666666"/>
          <w:sz w:val="23"/>
          <w:szCs w:val="23"/>
        </w:rPr>
        <w:t>Belirtilen eşyanın yapılacak tespit işleminde bir özet beyan veya TIR Karnesi ya da transit beyannamesi kapsamında anılan madde çerçevesinde sabit referans numarası beyan edilerek ithal edilen ve 500.000 TL toplam fatura tutarını aşan ürünlerin esas alınması gerektiği hususu belirtilmiştir. </w:t>
      </w:r>
      <w:r w:rsidRPr="001614D5">
        <w:rPr>
          <w:rFonts w:ascii="Trebuchet MS" w:hAnsi="Trebuchet MS"/>
          <w:color w:val="666666"/>
          <w:sz w:val="23"/>
          <w:szCs w:val="23"/>
        </w:rPr>
        <w:t>Deniz yoluyla gelen eşya için bu uygulamanın bir konşimento kapsamında yapılması uygun bulunmuştur.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3---</w:t>
      </w:r>
      <w:r w:rsidRPr="00A63E67">
        <w:rPr>
          <w:rFonts w:ascii="Trebuchet MS" w:hAnsi="Trebuchet MS"/>
          <w:color w:val="666666"/>
          <w:sz w:val="23"/>
          <w:szCs w:val="23"/>
        </w:rPr>
        <w:t>Sabit referans numarası bulunan eşya için aynı </w:t>
      </w:r>
      <w:r w:rsidRPr="001614D5">
        <w:rPr>
          <w:rFonts w:ascii="Trebuchet MS" w:hAnsi="Trebuchet MS"/>
          <w:color w:val="666666"/>
          <w:sz w:val="23"/>
          <w:szCs w:val="23"/>
        </w:rPr>
        <w:t>Tebliğin diğer listeleri kapsamında veya başka bir ürün güvenliği ve denetimi ya da ithalat tebliği hükümleri uyarınca</w:t>
      </w:r>
      <w:r w:rsidRPr="00A63E67">
        <w:rPr>
          <w:rFonts w:ascii="Trebuchet MS" w:hAnsi="Trebuchet MS"/>
          <w:color w:val="666666"/>
          <w:sz w:val="23"/>
          <w:szCs w:val="23"/>
        </w:rPr>
        <w:t> bir uygunluk belgesinin mevcut olması halinde YGM Raporunun aranmasına gerek bulunmamaktadır. Ancak </w:t>
      </w:r>
      <w:r w:rsidRPr="001614D5">
        <w:rPr>
          <w:rFonts w:ascii="Trebuchet MS" w:hAnsi="Trebuchet MS"/>
          <w:color w:val="666666"/>
          <w:sz w:val="23"/>
          <w:szCs w:val="23"/>
        </w:rPr>
        <w:t>3 sayılı Çevrenin Korunması Yönünden Kontrol Altında Tutulan Atıkların İthalat Denetimi Tebliği kapsamında ibraz edilen Üretici Belgesi ve analiz sertifikası bir uygunluk belgesi olmadığından, YGM raporu ibrazına ilişkin sorumluluklardan bir istisna sağlamaz.</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4---</w:t>
      </w:r>
      <w:r w:rsidRPr="00A63E67">
        <w:rPr>
          <w:rFonts w:ascii="Trebuchet MS" w:hAnsi="Trebuchet MS"/>
          <w:color w:val="666666"/>
          <w:sz w:val="23"/>
          <w:szCs w:val="23"/>
        </w:rPr>
        <w:t>. DK1 tespit raporları için öngörülen aylık asgari 10.000 TL’lik ücretlendirmenin her bir tespit sözleşmesi için ayrı uygulanması, her bir sözleşme kapsamında aynı gümrük idaresine muhatap aynı ay içerisinde tespiti yapılan ikinci ve sonraki beyannameler için ilave asgari 200 TL ücretlendirme yapılması gerekmektedir.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5---</w:t>
      </w:r>
      <w:r w:rsidRPr="00A63E67">
        <w:rPr>
          <w:rFonts w:ascii="Trebuchet MS" w:hAnsi="Trebuchet MS"/>
          <w:color w:val="666666"/>
          <w:sz w:val="23"/>
          <w:szCs w:val="23"/>
        </w:rPr>
        <w:t> </w:t>
      </w:r>
      <w:r w:rsidRPr="001614D5">
        <w:rPr>
          <w:rFonts w:ascii="Trebuchet MS" w:hAnsi="Trebuchet MS"/>
          <w:color w:val="666666"/>
          <w:sz w:val="23"/>
          <w:szCs w:val="23"/>
        </w:rPr>
        <w:t>1/1/2024-31/10/2024 tarihleri arasında tescil edilen beyannameler kapsamında yapılacak tespitlere ilişkin yetkilendirilmiş gümrük müşaviri raporlarının, süre uzatımına ilişkin hususlar saklı kalmak kaydıyla 30/4/2025 (dâhil) tarihine kadar düzenlenmesi uygun bulunmuştur.</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6---DK1 tespit türüne ilişkin yapılan sözleşmelerde sözleşmenin geçerli olduğu süreye ilişkin bir kısıtlama bulunmayıp, söz konusu sözleşmeler taraflar arasında mutabık kalınan dönem için geçerlidir. Bu çerçevede, 2024/5 sayılı Tebliğin 2025 yılında revize edilerek yeniden yayımlanması halinde yeni bir sözleşme yapılmasına gerek bulunmamaktadır.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7---</w:t>
      </w:r>
      <w:r w:rsidRPr="00A63E67">
        <w:rPr>
          <w:rFonts w:ascii="Trebuchet MS" w:hAnsi="Trebuchet MS"/>
          <w:color w:val="666666"/>
          <w:sz w:val="23"/>
          <w:szCs w:val="23"/>
        </w:rPr>
        <w:t>YGM raporunun düzenlenmesine ilişkin süre uzatımı için eşyanın teslim, kullanım veya işleme konu edilmediğinin ispatı hususunda eşyanın ithalatçı firmanın stok kayıtlarında mevcut olduğuna ilişkin firma yetkililerince imzalı belgenin ispat aracı olarak gümrük idarelerince kabul edilmesi uygun bulunmuştur.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8---</w:t>
      </w:r>
      <w:r w:rsidRPr="00A63E67">
        <w:rPr>
          <w:rFonts w:ascii="Trebuchet MS" w:hAnsi="Trebuchet MS"/>
          <w:color w:val="666666"/>
          <w:sz w:val="23"/>
          <w:szCs w:val="23"/>
        </w:rPr>
        <w:t>YGM raporları YGMS Programı üzerinden elektronik olarak ibraz </w:t>
      </w:r>
      <w:r w:rsidRPr="001614D5">
        <w:rPr>
          <w:rFonts w:ascii="Trebuchet MS" w:hAnsi="Trebuchet MS"/>
          <w:color w:val="666666"/>
          <w:sz w:val="23"/>
          <w:szCs w:val="23"/>
        </w:rPr>
        <w:t>edildiğinden söz konusu raporların ve eklerinin ayrıca kâğıt ortamında ilgili gümrük idaresine ibrazına gerek bulunmamaktadır.</w:t>
      </w:r>
      <w:r w:rsidRPr="00A63E67">
        <w:rPr>
          <w:rFonts w:ascii="Trebuchet MS" w:hAnsi="Trebuchet MS"/>
          <w:color w:val="666666"/>
          <w:sz w:val="23"/>
          <w:szCs w:val="23"/>
        </w:rPr>
        <w:t> Bununla beraber, söz konusu rapor ve ekli belgelerin gerektiğinde ibraz edilmek üzere Gümrük Kanunun 13 üncü maddesinde belirtilen belge saklama süresi boyunca muhafaza edilmesi gerekmektedir.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10---</w:t>
      </w:r>
      <w:r w:rsidRPr="00A63E67">
        <w:rPr>
          <w:rFonts w:ascii="Trebuchet MS" w:hAnsi="Trebuchet MS"/>
          <w:color w:val="666666"/>
          <w:sz w:val="23"/>
          <w:szCs w:val="23"/>
        </w:rPr>
        <w:t>Gıda ve yem sanayinde ve/veya karşılarında belirtilen amaçlar için kullanılabilecek eşya için ithalat öncesinde Uygunluk Yazısı almak üzere Tarım ve Orman Bakanlığına başvurulması mümkün olup, Uygunluk Yazısı beyan edilen eşya için ayrıca YGM Raporu düzenlenmesine gerek bulunmamaktadır.</w:t>
      </w:r>
    </w:p>
    <w:p w:rsidR="00ED5FBB" w:rsidRDefault="00ED5FBB" w:rsidP="00ED5FBB">
      <w:hyperlink r:id="rId9" w:history="1">
        <w:r w:rsidRPr="00F1149E">
          <w:rPr>
            <w:rStyle w:val="Kpr"/>
          </w:rPr>
          <w:t>https://www.lojiblog.com/services/viewer.php?data=34049</w:t>
        </w:r>
      </w:hyperlink>
    </w:p>
    <w:p w:rsidR="00ED5FBB" w:rsidRPr="001614D5" w:rsidRDefault="00ED5FBB" w:rsidP="00ED5FBB">
      <w:pPr>
        <w:rPr>
          <w:b/>
          <w:sz w:val="28"/>
          <w:szCs w:val="28"/>
        </w:rPr>
      </w:pPr>
      <w:r>
        <w:rPr>
          <w:b/>
          <w:sz w:val="28"/>
          <w:szCs w:val="28"/>
        </w:rPr>
        <w:t>7</w:t>
      </w:r>
      <w:r>
        <w:rPr>
          <w:b/>
          <w:sz w:val="28"/>
          <w:szCs w:val="28"/>
        </w:rPr>
        <w:t>-----</w:t>
      </w:r>
      <w:r w:rsidRPr="001614D5">
        <w:rPr>
          <w:b/>
          <w:sz w:val="28"/>
          <w:szCs w:val="28"/>
        </w:rPr>
        <w:t>Keçeli Kalem İthalatında Gözetim Fiyat Uygulaması</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9</w:t>
      </w:r>
      <w:r w:rsidRPr="00A63E67">
        <w:rPr>
          <w:rFonts w:ascii="Trebuchet MS" w:hAnsi="Trebuchet MS"/>
          <w:color w:val="666666"/>
          <w:sz w:val="23"/>
          <w:szCs w:val="23"/>
        </w:rPr>
        <w:t>608.20 tarife alt pozisyonundaki ‘’Keçe uçlu veya diğer gözenek uçlu yazı ve işaret kalemleri’’ ithalatında 0,28 USD ABD Doları Adet gözetim kıymet uygulaması baş</w:t>
      </w:r>
      <w:r>
        <w:rPr>
          <w:rFonts w:ascii="Trebuchet MS" w:hAnsi="Trebuchet MS"/>
          <w:color w:val="666666"/>
          <w:sz w:val="23"/>
          <w:szCs w:val="23"/>
        </w:rPr>
        <w:t>latılması konulu tebliğ aşağıdaki linktedir.</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Uygulama 07.12,2024 tarihini takip eden 30. Gün başlayacaktır.</w:t>
      </w:r>
    </w:p>
    <w:p w:rsidR="00ED5FBB" w:rsidRDefault="00ED5FBB" w:rsidP="00ED5FBB">
      <w:hyperlink r:id="rId10" w:history="1">
        <w:r w:rsidRPr="00F1149E">
          <w:rPr>
            <w:rStyle w:val="Kpr"/>
          </w:rPr>
          <w:t>https://www.lojiblog.com/services/viewer.php?data=32712</w:t>
        </w:r>
      </w:hyperlink>
    </w:p>
    <w:p w:rsidR="00ED5FBB" w:rsidRPr="001614D5" w:rsidRDefault="00ED5FBB" w:rsidP="00ED5FBB">
      <w:pPr>
        <w:rPr>
          <w:b/>
          <w:sz w:val="28"/>
          <w:szCs w:val="28"/>
        </w:rPr>
      </w:pPr>
      <w:r>
        <w:rPr>
          <w:b/>
          <w:sz w:val="28"/>
          <w:szCs w:val="28"/>
        </w:rPr>
        <w:t>8</w:t>
      </w:r>
      <w:r>
        <w:rPr>
          <w:b/>
          <w:sz w:val="28"/>
          <w:szCs w:val="28"/>
        </w:rPr>
        <w:t>-----</w:t>
      </w:r>
      <w:r w:rsidRPr="001614D5">
        <w:rPr>
          <w:b/>
          <w:sz w:val="28"/>
          <w:szCs w:val="28"/>
        </w:rPr>
        <w:t>Çevre Katkı Payının Eksik Ödenmesi Durumunda Yapılacak İşlemler</w:t>
      </w:r>
    </w:p>
    <w:p w:rsidR="00ED5FBB" w:rsidRPr="00A63E67"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w:t>
      </w:r>
      <w:r w:rsidRPr="00A63E67">
        <w:rPr>
          <w:rFonts w:ascii="Trebuchet MS" w:hAnsi="Trebuchet MS"/>
          <w:color w:val="666666"/>
          <w:sz w:val="23"/>
          <w:szCs w:val="23"/>
        </w:rPr>
        <w:t>Çevre Katkı Payına tabi eşya ithalatında, bu payın eksik ödenmesi durumunda, 4458 sayılı Gümrük Kanununun 234 üncü maddesi kapsamında işlem yapılıp yapılmayacağı hususunda tereddüt oluştuğu,</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-Çevre Katkı Payının, Gümrük Kanununun 3 üncü maddesinde yer alan tanım çerçevesinde, 4458 sayılı Gümrük Kanununun 234 üncü maddesinde belirtilen “ithalat vergileri” kapsamında bulunduğu,</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-Dolayısıyla eksik ödenmesi durumunda Gümrük Kanununun 234. Maddesine istinaden cezai işlem uygulanması gerektiği,</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Konulu Gümrükler</w:t>
      </w:r>
      <w:r>
        <w:rPr>
          <w:rFonts w:ascii="Trebuchet MS" w:hAnsi="Trebuchet MS"/>
          <w:color w:val="666666"/>
          <w:sz w:val="23"/>
          <w:szCs w:val="23"/>
        </w:rPr>
        <w:t xml:space="preserve"> Genel Müdürlüğü yazısı aşağıdaki linktedir.</w:t>
      </w:r>
    </w:p>
    <w:p w:rsidR="00ED5FBB" w:rsidRDefault="00ED5FBB" w:rsidP="00ED5FBB">
      <w:hyperlink r:id="rId11" w:history="1">
        <w:r w:rsidRPr="00F1149E">
          <w:rPr>
            <w:rStyle w:val="Kpr"/>
          </w:rPr>
          <w:t>https://www.lojiblog.com/services/viewer.php?data=32903</w:t>
        </w:r>
      </w:hyperlink>
    </w:p>
    <w:p w:rsidR="00ED5FBB" w:rsidRPr="001614D5" w:rsidRDefault="00ED5FBB" w:rsidP="00ED5FBB">
      <w:pPr>
        <w:rPr>
          <w:b/>
          <w:sz w:val="28"/>
          <w:szCs w:val="28"/>
        </w:rPr>
      </w:pPr>
      <w:r>
        <w:rPr>
          <w:b/>
          <w:sz w:val="28"/>
          <w:szCs w:val="28"/>
        </w:rPr>
        <w:t>9-</w:t>
      </w:r>
      <w:r>
        <w:rPr>
          <w:b/>
          <w:sz w:val="28"/>
          <w:szCs w:val="28"/>
        </w:rPr>
        <w:t>----</w:t>
      </w:r>
      <w:r w:rsidRPr="001614D5">
        <w:rPr>
          <w:b/>
          <w:sz w:val="28"/>
          <w:szCs w:val="28"/>
        </w:rPr>
        <w:t>İran menşeli Düz Cam İthalatında EMY Devamı İçin Soruşturma Açıldı</w:t>
      </w:r>
    </w:p>
    <w:p w:rsidR="00ED5FBB" w:rsidRDefault="00ED5FBB" w:rsidP="00ED5FBB">
      <w:pPr>
        <w:shd w:val="clear" w:color="auto" w:fill="FFFFFF"/>
        <w:spacing w:after="0" w:line="240" w:lineRule="atLeast"/>
        <w:jc w:val="both"/>
        <w:rPr>
          <w:rFonts w:ascii="Trebuchet MS" w:hAnsi="Trebuchet MS"/>
          <w:color w:val="666666"/>
          <w:sz w:val="23"/>
          <w:szCs w:val="23"/>
        </w:rPr>
      </w:pPr>
      <w:r w:rsidRPr="001614D5">
        <w:rPr>
          <w:rFonts w:ascii="Trebuchet MS" w:hAnsi="Trebuchet MS"/>
          <w:color w:val="666666"/>
          <w:sz w:val="23"/>
          <w:szCs w:val="23"/>
        </w:rPr>
        <w:t>7</w:t>
      </w:r>
      <w:r w:rsidRPr="00A63E67">
        <w:rPr>
          <w:rFonts w:ascii="Trebuchet MS" w:hAnsi="Trebuchet MS"/>
          <w:color w:val="666666"/>
          <w:sz w:val="23"/>
          <w:szCs w:val="23"/>
        </w:rPr>
        <w:t>0.04, 70.05 ve 70.06 tarife pozisyonlarında yer alan İran menşeli camların ithalatında şu anda 38 USD ton olarak uygulanmakta olan Ek mali yükümlülük şeklindeki korunma önleminin devamı konusunda bir soruşturma başlatı</w:t>
      </w:r>
      <w:r>
        <w:rPr>
          <w:rFonts w:ascii="Trebuchet MS" w:hAnsi="Trebuchet MS"/>
          <w:color w:val="666666"/>
          <w:sz w:val="23"/>
          <w:szCs w:val="23"/>
        </w:rPr>
        <w:t>lması ile ilgili tebliğ aşağıdaki linktedir.</w:t>
      </w:r>
    </w:p>
    <w:p w:rsidR="00ED5FBB" w:rsidRPr="00A63E67" w:rsidRDefault="00ED5FBB" w:rsidP="00ED5FBB">
      <w:pPr>
        <w:shd w:val="clear" w:color="auto" w:fill="FFFFFF"/>
        <w:spacing w:after="0" w:line="240" w:lineRule="atLeast"/>
        <w:jc w:val="both"/>
        <w:rPr>
          <w:rFonts w:ascii="Trebuchet MS" w:hAnsi="Trebuchet MS"/>
          <w:color w:val="666666"/>
          <w:sz w:val="23"/>
          <w:szCs w:val="23"/>
        </w:rPr>
      </w:pP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Ek mali yükümlülüğün 36 USD/ton olarak devamı konusunda öneride bulunulmuştur.</w:t>
      </w:r>
    </w:p>
    <w:p w:rsidR="00ED5FBB" w:rsidRDefault="00ED5FBB" w:rsidP="00ED5FBB">
      <w:hyperlink r:id="rId12" w:history="1">
        <w:r w:rsidRPr="00F1149E">
          <w:rPr>
            <w:rStyle w:val="Kpr"/>
          </w:rPr>
          <w:t>https://www.lojiblog.com/services/viewer.php?data=33094</w:t>
        </w:r>
      </w:hyperlink>
    </w:p>
    <w:p w:rsidR="00ED5FBB" w:rsidRPr="001614D5" w:rsidRDefault="00ED5FBB" w:rsidP="00ED5FBB">
      <w:pPr>
        <w:rPr>
          <w:b/>
          <w:sz w:val="28"/>
          <w:szCs w:val="28"/>
        </w:rPr>
      </w:pPr>
      <w:r>
        <w:rPr>
          <w:b/>
          <w:sz w:val="28"/>
          <w:szCs w:val="28"/>
        </w:rPr>
        <w:t>10</w:t>
      </w:r>
      <w:r>
        <w:rPr>
          <w:b/>
          <w:sz w:val="28"/>
          <w:szCs w:val="28"/>
        </w:rPr>
        <w:t>----</w:t>
      </w:r>
      <w:r w:rsidRPr="001614D5">
        <w:rPr>
          <w:b/>
          <w:sz w:val="28"/>
          <w:szCs w:val="28"/>
        </w:rPr>
        <w:t>İran menşeli Düz Cam İthalatında Teminat Şeklinde EMY Uygulaması</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70.04, 70.05 ve 70.06 tarife pozisyonlarında yer alan İran menşeli camların ithalatında 200 gün süreyle geçici korunma önlemi olarak ton başına 36 ABD Doları ek mali yükümlülü</w:t>
      </w:r>
      <w:r>
        <w:rPr>
          <w:rFonts w:ascii="Trebuchet MS" w:hAnsi="Trebuchet MS"/>
          <w:color w:val="666666"/>
          <w:sz w:val="23"/>
          <w:szCs w:val="23"/>
        </w:rPr>
        <w:t>k alınması konulu karar aşağıdaki linktedir.</w:t>
      </w:r>
    </w:p>
    <w:p w:rsidR="00ED5FBB" w:rsidRPr="00A63E67" w:rsidRDefault="00ED5FBB" w:rsidP="00ED5FBB">
      <w:pPr>
        <w:shd w:val="clear" w:color="auto" w:fill="FFFFFF"/>
        <w:spacing w:line="240" w:lineRule="auto"/>
        <w:rPr>
          <w:rFonts w:ascii="Trebuchet MS" w:hAnsi="Trebuchet MS"/>
          <w:color w:val="666666"/>
          <w:sz w:val="23"/>
          <w:szCs w:val="23"/>
        </w:rPr>
      </w:pPr>
      <w:r w:rsidRPr="00A63E67">
        <w:rPr>
          <w:rFonts w:ascii="Trebuchet MS" w:hAnsi="Trebuchet MS"/>
          <w:color w:val="666666"/>
          <w:sz w:val="23"/>
          <w:szCs w:val="23"/>
        </w:rPr>
        <w:t>Yapılan soruşturma sonucunda korunma önlemi alınmasına karar verilmesi halinde teminata bağlanan tutar irat kaydedilecektir. Aksi halde alınan teminat iade edilecektir.</w:t>
      </w:r>
    </w:p>
    <w:p w:rsidR="00ED5FBB" w:rsidRPr="003D28A7" w:rsidRDefault="00ED5FBB" w:rsidP="00ED5FBB">
      <w:pPr>
        <w:rPr>
          <w:color w:val="0000FF"/>
          <w:u w:val="single"/>
        </w:rPr>
      </w:pPr>
      <w:hyperlink r:id="rId13" w:history="1">
        <w:r w:rsidRPr="00F1149E">
          <w:rPr>
            <w:rStyle w:val="Kpr"/>
          </w:rPr>
          <w:t>https://www.lojiblog.com/services/viewer.php?data=33285</w:t>
        </w:r>
      </w:hyperlink>
    </w:p>
    <w:p w:rsidR="00ED5FBB" w:rsidRPr="001614D5" w:rsidRDefault="00ED5FBB" w:rsidP="00ED5FBB">
      <w:pPr>
        <w:rPr>
          <w:b/>
          <w:sz w:val="28"/>
          <w:szCs w:val="28"/>
        </w:rPr>
      </w:pPr>
      <w:r>
        <w:rPr>
          <w:b/>
          <w:sz w:val="28"/>
          <w:szCs w:val="28"/>
        </w:rPr>
        <w:t>11</w:t>
      </w:r>
      <w:r>
        <w:rPr>
          <w:b/>
          <w:sz w:val="28"/>
          <w:szCs w:val="28"/>
        </w:rPr>
        <w:t>----</w:t>
      </w:r>
      <w:r w:rsidRPr="001614D5">
        <w:rPr>
          <w:b/>
          <w:sz w:val="28"/>
          <w:szCs w:val="28"/>
        </w:rPr>
        <w:t>Alüminyum Yaprak-Şerit İthalatında Dampinge Karşı Vergi Soruşturması</w:t>
      </w:r>
    </w:p>
    <w:p w:rsidR="00ED5FBB" w:rsidRPr="001614D5" w:rsidRDefault="00ED5FBB" w:rsidP="00ED5FBB">
      <w:pPr>
        <w:shd w:val="clear" w:color="auto" w:fill="FFFFFF"/>
        <w:spacing w:line="240" w:lineRule="auto"/>
        <w:rPr>
          <w:rFonts w:ascii="Trebuchet MS" w:hAnsi="Trebuchet MS"/>
          <w:color w:val="666666"/>
          <w:sz w:val="23"/>
          <w:szCs w:val="23"/>
        </w:rPr>
      </w:pPr>
      <w:r w:rsidRPr="001614D5">
        <w:rPr>
          <w:rFonts w:ascii="Trebuchet MS" w:hAnsi="Trebuchet MS"/>
          <w:color w:val="666666"/>
          <w:sz w:val="23"/>
          <w:szCs w:val="23"/>
        </w:rPr>
        <w:t>Çin menşeli 7607.11 tarife alt pozisyonunda yer alan “kalınlığı 0,2 mm’yi geçmeyen, haddelenmiş fakat daha ileri bir işleme tutulmamış alüminyumdan mesnetsiz yapraklar ve şeritler” ve 7607.19 tarife alt pozisyonunda yer alan “diğerleri” cinsi eşyanın ithalatında şu anda CIF %22 olarak uygulanmakta olan dampinge karşı verginin devamı ile ilgili nihai bir gözden geçirme soruşturması açılması ve açılan soruşturmanın usul ve esaslarının be</w:t>
      </w:r>
      <w:r>
        <w:rPr>
          <w:rFonts w:ascii="Trebuchet MS" w:hAnsi="Trebuchet MS"/>
          <w:color w:val="666666"/>
          <w:sz w:val="23"/>
          <w:szCs w:val="23"/>
        </w:rPr>
        <w:t>lirlenmesi konulu tebliğ aşağıdaki linktedir.</w:t>
      </w:r>
    </w:p>
    <w:p w:rsidR="00ED5FBB" w:rsidRDefault="00ED5FBB" w:rsidP="00ED5FBB">
      <w:hyperlink r:id="rId14" w:history="1">
        <w:r w:rsidRPr="00F1149E">
          <w:rPr>
            <w:rStyle w:val="Kpr"/>
          </w:rPr>
          <w:t>https://www.lojiblog.com/services/viewer.php?data=33476</w:t>
        </w:r>
      </w:hyperlink>
    </w:p>
    <w:p w:rsidR="00ED5FBB" w:rsidRPr="001614D5" w:rsidRDefault="00ED5FBB" w:rsidP="00ED5FBB">
      <w:pPr>
        <w:rPr>
          <w:b/>
          <w:sz w:val="28"/>
          <w:szCs w:val="28"/>
        </w:rPr>
      </w:pPr>
      <w:r>
        <w:rPr>
          <w:b/>
          <w:sz w:val="28"/>
          <w:szCs w:val="28"/>
        </w:rPr>
        <w:t>12</w:t>
      </w:r>
      <w:r>
        <w:rPr>
          <w:b/>
          <w:sz w:val="28"/>
          <w:szCs w:val="28"/>
        </w:rPr>
        <w:t>----</w:t>
      </w:r>
      <w:r w:rsidRPr="001614D5">
        <w:rPr>
          <w:b/>
          <w:sz w:val="28"/>
          <w:szCs w:val="28"/>
        </w:rPr>
        <w:t>Yurt Dışı Lojistik Dağıtım Ağları ve Fuar Alanı Yapım Desteği Prefinansman Kapsamına Alınıyor</w:t>
      </w:r>
    </w:p>
    <w:p w:rsidR="00ED5FBB" w:rsidRPr="001614D5"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614D5">
        <w:rPr>
          <w:rFonts w:ascii="Trebuchet MS" w:eastAsiaTheme="minorHAnsi" w:hAnsi="Trebuchet MS" w:cstheme="minorBidi"/>
          <w:color w:val="666666"/>
          <w:sz w:val="23"/>
          <w:szCs w:val="23"/>
          <w:lang w:eastAsia="en-US"/>
        </w:rPr>
        <w:t>Ticaret Bakanlığının Yurt Dışı Lojistik Dağıtım Ağları ve Fuar Alanı Yapım Desteği Prefinansman Kapsamına Alınıyor konulu duyurusuna aşağıdaki linkten ulaşılabilir.</w:t>
      </w:r>
    </w:p>
    <w:p w:rsidR="00ED5FBB" w:rsidRPr="001614D5"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614D5">
        <w:rPr>
          <w:rFonts w:ascii="Trebuchet MS" w:eastAsiaTheme="minorHAnsi" w:hAnsi="Trebuchet MS" w:cstheme="minorBidi"/>
          <w:color w:val="666666"/>
          <w:sz w:val="23"/>
          <w:szCs w:val="23"/>
          <w:lang w:eastAsia="en-US"/>
        </w:rPr>
        <w:t>Türkiye İhracat Kredi Bankası A.Ş. (Türk Eximbank) ile İhracatı Geliştirme A.Ş. (İGE) arasında, ihracatçılara prefinansman imkânı sağlanması ve teminat desteği verilmesi için 26 Eylül 2022 tarihinde imzalanan protokole eklenen protokol ile Ticaret Bakanlığınca yürütülen Yurt Dışı Lojistik Ağları (YLDA) projeleri ile fuar alanı yapımına yönelik projeler kapsamında yapılan harcamalar da prefinansman kapsamına alınmıştır. Bu çerçevede yapılan ek protokol ile YLDA projeleri ve fuar alanı yapım desteği için onay alan firmalar finansman ve teminat olanaklarından faydalanabilecektir.</w:t>
      </w:r>
    </w:p>
    <w:p w:rsidR="00ED5FBB" w:rsidRDefault="00ED5FBB" w:rsidP="00ED5FBB">
      <w:pPr>
        <w:pStyle w:val="NormalWeb"/>
        <w:shd w:val="clear" w:color="auto" w:fill="FFFFFF"/>
        <w:spacing w:before="0" w:beforeAutospacing="0" w:after="160" w:afterAutospacing="0"/>
        <w:rPr>
          <w:rFonts w:ascii="Calibri" w:hAnsi="Calibri" w:cs="Calibri"/>
          <w:color w:val="666666"/>
          <w:sz w:val="22"/>
          <w:szCs w:val="22"/>
        </w:rPr>
      </w:pPr>
      <w:hyperlink r:id="rId15" w:history="1">
        <w:r>
          <w:rPr>
            <w:rStyle w:val="Kpr"/>
            <w:rFonts w:ascii="Calibri" w:hAnsi="Calibri" w:cs="Calibri"/>
            <w:color w:val="0563C1"/>
            <w:sz w:val="22"/>
            <w:szCs w:val="22"/>
          </w:rPr>
          <w:t>https://ticaret.gov.tr/haberler/yurt-disi-lojistik-dagitim-aglari-ve-fuar-alani-yapim-destegi-prefinansman-kapsamina-aliniyor</w:t>
        </w:r>
      </w:hyperlink>
    </w:p>
    <w:p w:rsidR="00ED5FBB" w:rsidRPr="003D28A7" w:rsidRDefault="00ED5FBB" w:rsidP="00ED5FBB">
      <w:pPr>
        <w:rPr>
          <w:b/>
          <w:sz w:val="28"/>
          <w:szCs w:val="28"/>
        </w:rPr>
      </w:pPr>
      <w:r>
        <w:rPr>
          <w:b/>
          <w:sz w:val="28"/>
          <w:szCs w:val="28"/>
        </w:rPr>
        <w:t>13</w:t>
      </w:r>
      <w:r>
        <w:rPr>
          <w:b/>
          <w:sz w:val="28"/>
          <w:szCs w:val="28"/>
        </w:rPr>
        <w:t>----</w:t>
      </w:r>
      <w:r w:rsidRPr="003D28A7">
        <w:rPr>
          <w:b/>
          <w:sz w:val="28"/>
          <w:szCs w:val="28"/>
        </w:rPr>
        <w:t>2024 Yılında Üretilen Araçların 2025 Yılında İthali Hakkında GGM Yazısı</w:t>
      </w:r>
    </w:p>
    <w:p w:rsidR="00ED5FBB" w:rsidRPr="003D28A7" w:rsidRDefault="00ED5FBB" w:rsidP="00ED5FBB">
      <w:pPr>
        <w:rPr>
          <w:rFonts w:ascii="Trebuchet MS" w:hAnsi="Trebuchet MS"/>
          <w:color w:val="666666"/>
          <w:sz w:val="23"/>
          <w:szCs w:val="23"/>
        </w:rPr>
      </w:pPr>
      <w:r w:rsidRPr="003D28A7">
        <w:rPr>
          <w:rFonts w:ascii="Trebuchet MS" w:hAnsi="Trebuchet MS"/>
          <w:color w:val="666666"/>
          <w:sz w:val="23"/>
          <w:szCs w:val="23"/>
        </w:rPr>
        <w:t>Gümrük Müşavirleri Derneklerinin Mücbir sebeplerden dolayı 2024 yılının ilk sekiz ayında üretilen ve gelen 87.01; 87.02, 87.03 (8703.80 hariç); 87.04; 87.05 ve 87.11 GTİP sınıflandırılan araçların 2025 yılının ilk dört (4) ayında ithaline izin verilmesinin uygun olacağı konulu yazıların Gümrükler Genel Müdürlüğünce verilen olu</w:t>
      </w:r>
      <w:r>
        <w:rPr>
          <w:rFonts w:ascii="Trebuchet MS" w:hAnsi="Trebuchet MS"/>
          <w:color w:val="666666"/>
          <w:sz w:val="23"/>
          <w:szCs w:val="23"/>
        </w:rPr>
        <w:t>msuz yanıta ilişkin yazı aşağıdaki linktedir.</w:t>
      </w:r>
    </w:p>
    <w:p w:rsidR="00ED5FBB" w:rsidRDefault="00ED5FBB" w:rsidP="00ED5FBB">
      <w:hyperlink r:id="rId16" w:history="1">
        <w:r w:rsidRPr="00FE5EA0">
          <w:rPr>
            <w:rStyle w:val="Kpr"/>
          </w:rPr>
          <w:t>https://www.lojiblog.com/services/viewer.php?data=34431</w:t>
        </w:r>
      </w:hyperlink>
    </w:p>
    <w:p w:rsidR="00ED5FBB" w:rsidRPr="00EC4ACD" w:rsidRDefault="00ED5FBB" w:rsidP="00ED5FBB">
      <w:pPr>
        <w:rPr>
          <w:b/>
          <w:sz w:val="28"/>
          <w:szCs w:val="28"/>
        </w:rPr>
      </w:pPr>
      <w:r>
        <w:rPr>
          <w:b/>
          <w:sz w:val="28"/>
          <w:szCs w:val="28"/>
        </w:rPr>
        <w:t>14</w:t>
      </w:r>
      <w:r>
        <w:rPr>
          <w:b/>
          <w:sz w:val="28"/>
          <w:szCs w:val="28"/>
        </w:rPr>
        <w:t>----</w:t>
      </w:r>
      <w:r w:rsidRPr="00EC4ACD">
        <w:rPr>
          <w:b/>
          <w:sz w:val="28"/>
          <w:szCs w:val="28"/>
        </w:rPr>
        <w:t>Kauçuk İp-İplik İthalatında Dampinge Karşı Vergi Uygulaması</w:t>
      </w:r>
    </w:p>
    <w:p w:rsidR="00ED5FBB" w:rsidRPr="00EC4ACD"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C4ACD">
        <w:rPr>
          <w:rFonts w:ascii="Trebuchet MS" w:eastAsiaTheme="minorHAnsi" w:hAnsi="Trebuchet MS" w:cstheme="minorBidi"/>
          <w:color w:val="666666"/>
          <w:sz w:val="23"/>
          <w:szCs w:val="23"/>
          <w:lang w:eastAsia="en-US"/>
        </w:rPr>
        <w:t xml:space="preserve">Tayland menşeli 4007.00 tarife alt pozisyonunda yer alan “mülkinize edilmiş kauçuktan iplik ve ipler” in ithalatında CIF %4,37-8,75 oranlarında uygulamakta olan dampinge karşı verginin aynen </w:t>
      </w:r>
      <w:r>
        <w:rPr>
          <w:rFonts w:ascii="Trebuchet MS" w:eastAsiaTheme="minorHAnsi" w:hAnsi="Trebuchet MS" w:cstheme="minorBidi"/>
          <w:color w:val="666666"/>
          <w:sz w:val="23"/>
          <w:szCs w:val="23"/>
          <w:lang w:eastAsia="en-US"/>
        </w:rPr>
        <w:t>devamı ile ilgili tebliğ aşağıdaki linktedir.</w:t>
      </w:r>
    </w:p>
    <w:p w:rsidR="00ED5FBB" w:rsidRDefault="00ED5FBB" w:rsidP="00ED5FBB">
      <w:hyperlink r:id="rId17" w:history="1">
        <w:r w:rsidRPr="00FE5EA0">
          <w:rPr>
            <w:rStyle w:val="Kpr"/>
          </w:rPr>
          <w:t>https://www.lojiblog.com/services/viewer.php?data=34813</w:t>
        </w:r>
      </w:hyperlink>
    </w:p>
    <w:p w:rsidR="00ED5FBB" w:rsidRPr="00EC4ACD" w:rsidRDefault="00ED5FBB" w:rsidP="00ED5FBB">
      <w:pPr>
        <w:rPr>
          <w:b/>
          <w:sz w:val="28"/>
          <w:szCs w:val="28"/>
        </w:rPr>
      </w:pPr>
      <w:r>
        <w:rPr>
          <w:b/>
          <w:sz w:val="28"/>
          <w:szCs w:val="28"/>
        </w:rPr>
        <w:t>15</w:t>
      </w:r>
      <w:r>
        <w:rPr>
          <w:b/>
          <w:sz w:val="28"/>
          <w:szCs w:val="28"/>
        </w:rPr>
        <w:t>----</w:t>
      </w:r>
      <w:r w:rsidRPr="00EC4ACD">
        <w:rPr>
          <w:b/>
          <w:sz w:val="28"/>
          <w:szCs w:val="28"/>
        </w:rPr>
        <w:t>Türkiye</w:t>
      </w:r>
      <w:r>
        <w:rPr>
          <w:b/>
          <w:sz w:val="28"/>
          <w:szCs w:val="28"/>
        </w:rPr>
        <w:t>’</w:t>
      </w:r>
      <w:r w:rsidRPr="00EC4ACD">
        <w:rPr>
          <w:b/>
          <w:sz w:val="28"/>
          <w:szCs w:val="28"/>
        </w:rPr>
        <w:t>nin İsrail ile Ticareti Durdurma Süreci Hakkında Bilgi Notu</w:t>
      </w:r>
    </w:p>
    <w:p w:rsidR="00ED5FBB" w:rsidRPr="00EC4ACD"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C4ACD">
        <w:rPr>
          <w:rFonts w:ascii="Trebuchet MS" w:eastAsiaTheme="minorHAnsi" w:hAnsi="Trebuchet MS" w:cstheme="minorBidi"/>
          <w:color w:val="666666"/>
          <w:sz w:val="23"/>
          <w:szCs w:val="23"/>
          <w:lang w:eastAsia="en-US"/>
        </w:rPr>
        <w:t>Ticaret Bakanlığının, Türkiye’nin İsrail ile ticareti durdurma süreci hakkında hazırladığı kapsamlı bilgi notuna aşağıdaki linkten ulaşılabilir.</w:t>
      </w:r>
    </w:p>
    <w:p w:rsidR="00ED5FBB" w:rsidRPr="00EC4ACD" w:rsidRDefault="00ED5FBB" w:rsidP="00ED5FBB">
      <w:pPr>
        <w:pStyle w:val="NormalWeb"/>
        <w:shd w:val="clear" w:color="auto" w:fill="FFFFFF"/>
        <w:spacing w:before="0" w:beforeAutospacing="0" w:after="160" w:afterAutospacing="0"/>
        <w:rPr>
          <w:rStyle w:val="Kpr"/>
          <w:rFonts w:asciiTheme="minorHAnsi" w:eastAsiaTheme="minorHAnsi" w:hAnsiTheme="minorHAnsi" w:cstheme="minorBidi"/>
          <w:lang w:eastAsia="en-US"/>
        </w:rPr>
      </w:pPr>
      <w:hyperlink r:id="rId18" w:history="1">
        <w:r w:rsidRPr="00EC4ACD">
          <w:rPr>
            <w:rStyle w:val="Kpr"/>
            <w:rFonts w:asciiTheme="minorHAnsi" w:eastAsiaTheme="minorHAnsi" w:hAnsiTheme="minorHAnsi" w:cstheme="minorBidi"/>
            <w:sz w:val="22"/>
            <w:szCs w:val="22"/>
            <w:lang w:eastAsia="en-US"/>
          </w:rPr>
          <w:t>https://ticaret.gov.tr/haberler/turkiyenin-israil-ile-ticareti-durdurma-sureci-hakkinda-bilgi-notu</w:t>
        </w:r>
      </w:hyperlink>
    </w:p>
    <w:p w:rsidR="00ED5FBB" w:rsidRPr="00EC4ACD" w:rsidRDefault="00ED5FBB" w:rsidP="00ED5FBB">
      <w:pPr>
        <w:rPr>
          <w:b/>
          <w:sz w:val="28"/>
          <w:szCs w:val="28"/>
        </w:rPr>
      </w:pPr>
      <w:r>
        <w:rPr>
          <w:b/>
          <w:sz w:val="28"/>
          <w:szCs w:val="28"/>
        </w:rPr>
        <w:t>16</w:t>
      </w:r>
      <w:r>
        <w:rPr>
          <w:b/>
          <w:sz w:val="28"/>
          <w:szCs w:val="28"/>
        </w:rPr>
        <w:t>----</w:t>
      </w:r>
      <w:r w:rsidRPr="00EC4ACD">
        <w:rPr>
          <w:b/>
          <w:sz w:val="28"/>
          <w:szCs w:val="28"/>
        </w:rPr>
        <w:t xml:space="preserve">Özet Beyan Takibatlarına İlişkin İspat Belgelerinde Konsolosluk Onayı Aranmayacağı </w:t>
      </w:r>
    </w:p>
    <w:p w:rsidR="00ED5FBB" w:rsidRPr="00EC4ACD"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EC4ACD">
        <w:rPr>
          <w:rFonts w:ascii="Trebuchet MS" w:eastAsiaTheme="minorHAnsi" w:hAnsi="Trebuchet MS" w:cstheme="minorBidi"/>
          <w:color w:val="666666"/>
          <w:sz w:val="23"/>
          <w:szCs w:val="23"/>
          <w:lang w:eastAsia="en-US"/>
        </w:rPr>
        <w:t>Özet beyan eksiklik/fazlalık takibatlarında 2012/2 sayılı Genelgenin 3/ç maddesinde sayılan, mahreç ülkeden (eşyayı Türkiye Gümrük Bölgesine getirecek olan taşıt aracının yüklendiği ülke) alınacak ispat belgelerinde ayrıca</w:t>
      </w:r>
      <w:r>
        <w:rPr>
          <w:rFonts w:ascii="Trebuchet MS" w:eastAsiaTheme="minorHAnsi" w:hAnsi="Trebuchet MS" w:cstheme="minorBidi"/>
          <w:color w:val="666666"/>
          <w:sz w:val="23"/>
          <w:szCs w:val="23"/>
          <w:lang w:eastAsia="en-US"/>
        </w:rPr>
        <w:t xml:space="preserve"> </w:t>
      </w:r>
      <w:r w:rsidRPr="00EC4ACD">
        <w:rPr>
          <w:rFonts w:ascii="Trebuchet MS" w:eastAsiaTheme="minorHAnsi" w:hAnsi="Trebuchet MS" w:cstheme="minorBidi"/>
          <w:color w:val="666666"/>
          <w:sz w:val="23"/>
          <w:szCs w:val="23"/>
          <w:lang w:eastAsia="en-US"/>
        </w:rPr>
        <w:t>konsolosluk onayı aranacağına ilişkin herhangi bir hususa yer verilmediğinden, özet beyan eksiklik/fazlalık takibatlarında mahreç ülkeden alınacak ispat belgelerine ilişkin işlemlerin Konsolosluk onayı aranmadan tamamlanması gerektiği konulu Gümrükle</w:t>
      </w:r>
      <w:r>
        <w:rPr>
          <w:rFonts w:ascii="Trebuchet MS" w:eastAsiaTheme="minorHAnsi" w:hAnsi="Trebuchet MS" w:cstheme="minorBidi"/>
          <w:color w:val="666666"/>
          <w:sz w:val="23"/>
          <w:szCs w:val="23"/>
          <w:lang w:eastAsia="en-US"/>
        </w:rPr>
        <w:t>r Genel Müdürlüğü yazısı aşağıdaki linktedir.</w:t>
      </w:r>
    </w:p>
    <w:p w:rsidR="00ED5FBB" w:rsidRDefault="00ED5FBB" w:rsidP="00ED5FBB">
      <w:hyperlink r:id="rId19" w:history="1">
        <w:r w:rsidRPr="00FE5EA0">
          <w:rPr>
            <w:rStyle w:val="Kpr"/>
          </w:rPr>
          <w:t>https://www.lojiblog.com/services/viewer.php?data=35195</w:t>
        </w:r>
      </w:hyperlink>
    </w:p>
    <w:p w:rsidR="00ED5FBB" w:rsidRPr="001D1B62" w:rsidRDefault="00ED5FBB" w:rsidP="00ED5FBB">
      <w:pPr>
        <w:rPr>
          <w:b/>
          <w:sz w:val="28"/>
          <w:szCs w:val="28"/>
        </w:rPr>
      </w:pPr>
      <w:r>
        <w:rPr>
          <w:b/>
          <w:sz w:val="28"/>
          <w:szCs w:val="28"/>
        </w:rPr>
        <w:t>17</w:t>
      </w:r>
      <w:r>
        <w:rPr>
          <w:b/>
          <w:sz w:val="28"/>
          <w:szCs w:val="28"/>
        </w:rPr>
        <w:t>----</w:t>
      </w:r>
      <w:r w:rsidRPr="001D1B62">
        <w:rPr>
          <w:b/>
          <w:sz w:val="28"/>
          <w:szCs w:val="28"/>
        </w:rPr>
        <w:t>KKTC den Doğrudan Gelen Eşya İçin Tek ve Maktu Vergi Belirlenmesine İlişkin Karar</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color w:val="666666"/>
          <w:sz w:val="23"/>
          <w:szCs w:val="23"/>
          <w:lang w:eastAsia="en-US"/>
        </w:rPr>
        <w:t>Kuzey Kıbrıs Türk Cumhuriyetinden doğrudan gelen, vergileri ödenmek suretiyle yolcu beraberinde veya posta yoluyla ya da hızlı kargo taşımacılığı yoluyla serbest dolaşıma sokulacak aşağıdaki eşyadan Avrupa Birliği ülkelerinden doğrudan gelen eşya için uygulanan oranlarda tek ve maktu vergi tahsi</w:t>
      </w:r>
      <w:r>
        <w:rPr>
          <w:rFonts w:ascii="Trebuchet MS" w:eastAsiaTheme="minorHAnsi" w:hAnsi="Trebuchet MS" w:cstheme="minorBidi"/>
          <w:color w:val="666666"/>
          <w:sz w:val="23"/>
          <w:szCs w:val="23"/>
          <w:lang w:eastAsia="en-US"/>
        </w:rPr>
        <w:t>l edilmesi konulu karar aşağıdaki linktedir.</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b/>
          <w:bCs/>
          <w:sz w:val="23"/>
          <w:szCs w:val="23"/>
          <w:lang w:eastAsia="en-US"/>
        </w:rPr>
        <w:t>--Vergileri ödenmek suretiyle yolcu beraberinde veya posta yoluyla ya da hızlı kargo taşımacılığı yoluyla serbest dolaşıma sokulacak eşya--</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b/>
          <w:bCs/>
          <w:sz w:val="23"/>
          <w:szCs w:val="23"/>
          <w:lang w:eastAsia="en-US"/>
        </w:rPr>
        <w:t>15481 Sayılı Karar-MADDE 62-</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bookmarkStart w:id="1" w:name="_hlk174100686"/>
      <w:r w:rsidRPr="001D1B62">
        <w:rPr>
          <w:rFonts w:ascii="Trebuchet MS" w:eastAsiaTheme="minorHAnsi" w:hAnsi="Trebuchet MS" w:cstheme="minorBidi"/>
          <w:color w:val="666666"/>
          <w:sz w:val="23"/>
          <w:szCs w:val="23"/>
          <w:lang w:eastAsia="en-US"/>
        </w:rPr>
        <w:t>(1) Posta veya hızlı kargo taşımacılığı yoluyla bir gerçek kişiye gelen ve ticari miktar ve mahiyet arz etmeyen, kıymeti 30 Avroyu geçmeyen eşya ile kıymeti 1500 Avroyu geçmeyen ilaç cinsi eşyanın değeri üzerinden;</w:t>
      </w:r>
      <w:bookmarkEnd w:id="1"/>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b/>
          <w:bCs/>
          <w:sz w:val="23"/>
          <w:szCs w:val="23"/>
          <w:lang w:eastAsia="en-US"/>
        </w:rPr>
        <w:t>a) Avrupa Birliği ülkelerinden doğrudan gelmesi halinde % 30,</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color w:val="666666"/>
          <w:sz w:val="23"/>
          <w:szCs w:val="23"/>
          <w:lang w:eastAsia="en-US"/>
        </w:rPr>
        <w:t>b) Diğer ülkelerden gelmesi halinde % 60,</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color w:val="666666"/>
          <w:sz w:val="23"/>
          <w:szCs w:val="23"/>
          <w:lang w:eastAsia="en-US"/>
        </w:rPr>
        <w:t>c) 6/6/2002 tarihli ve 4760 sayılı Özel Tüketim Vergisi Kanununa ekli (IV) sayılı listede yer alan eşya olması durumunda yukarıdaki oranlara ilave % 20,</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b/>
          <w:bCs/>
          <w:sz w:val="23"/>
          <w:szCs w:val="23"/>
          <w:lang w:eastAsia="en-US"/>
        </w:rPr>
        <w:t>Oranında tek ve maktu bir vergi tahsil edilir.</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color w:val="666666"/>
          <w:sz w:val="23"/>
          <w:szCs w:val="23"/>
          <w:lang w:eastAsia="en-US"/>
        </w:rPr>
        <w:t>(2) Posta veya hızlı kargo taşımacılığı yoluyla bir gerçek kişiye gelen ve ticari miktar ve mahiyet arz etmeyen, kıymeti 1500 Avroyu geçmeyen kişisel kullanıma mahsus kitap veya benzeri basılı yayın için 45 inci maddede belirtilen limitleri aşan eşyanın değeri üzerinden % 0 oranında tek ve maktu bir vergi uygulanır.</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b/>
          <w:bCs/>
          <w:sz w:val="23"/>
          <w:szCs w:val="23"/>
          <w:lang w:eastAsia="en-US"/>
        </w:rPr>
        <w:t>(3) Posta veya hızlı kargo taşımacılığı yoluyla bir tüzel kişiye gelen ve ticari miktar ve mahiyet arz etmeyen, kıymeti 22 Avroyu geçmeyen eşyanın değeri üzerinden birinci fıkrada belirtilen oranlarda tek ve maktu bir vergi tahsil edilir.</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b/>
          <w:bCs/>
          <w:sz w:val="23"/>
          <w:szCs w:val="23"/>
          <w:lang w:eastAsia="en-US"/>
        </w:rPr>
        <w:t>(4) Kıymeti 1500 Avroyu geçmemek şartıyla, yolcu beraberinde gelen Ek 9'daki (Yolcu Beraberi Kişisel Eşya Listesi listesi) kapsamı dışında kalan ve değeri 61 inci maddede belirtilen hediyelik eşya limitinin üzerinde olan ticari miktar ve mahiyet arz etmeyen eşyanın değeri üzerinden birinci fıkrada belirtilen oranlarda tek ve maktu bir vergi tahsil edilir.</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color w:val="666666"/>
          <w:sz w:val="23"/>
          <w:szCs w:val="23"/>
          <w:lang w:eastAsia="en-US"/>
        </w:rPr>
        <w:t>(5) Birinci, ikinci ve üçüncü fıkralarda sözü edilen limitler dâhilinde getirilen eşyanın brüt 30 kilogramı geçmemesi gerekir.</w:t>
      </w:r>
    </w:p>
    <w:p w:rsidR="00ED5FBB" w:rsidRPr="001D1B62"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1D1B62">
        <w:rPr>
          <w:rFonts w:ascii="Trebuchet MS" w:eastAsiaTheme="minorHAnsi" w:hAnsi="Trebuchet MS" w:cstheme="minorBidi"/>
          <w:color w:val="666666"/>
          <w:sz w:val="23"/>
          <w:szCs w:val="23"/>
          <w:lang w:eastAsia="en-US"/>
        </w:rPr>
        <w:t>(6) Diplomatik eşya ve 58 inci madde kapsamı yolcu eşyasının posta veya hızlı kargo taşımacılığı yoluyla gelmesi halinde kıymet ve ağırlık sınırı uygulanmaz.</w:t>
      </w:r>
    </w:p>
    <w:p w:rsidR="00ED5FBB" w:rsidRPr="00344BA3" w:rsidRDefault="00ED5FBB" w:rsidP="00ED5FBB">
      <w:pPr>
        <w:rPr>
          <w:b/>
          <w:sz w:val="28"/>
          <w:szCs w:val="28"/>
        </w:rPr>
      </w:pPr>
      <w:r>
        <w:rPr>
          <w:b/>
          <w:sz w:val="28"/>
          <w:szCs w:val="28"/>
        </w:rPr>
        <w:t>18</w:t>
      </w:r>
      <w:r>
        <w:rPr>
          <w:b/>
          <w:sz w:val="28"/>
          <w:szCs w:val="28"/>
        </w:rPr>
        <w:t>----</w:t>
      </w:r>
      <w:r w:rsidRPr="00344BA3">
        <w:rPr>
          <w:b/>
          <w:sz w:val="28"/>
          <w:szCs w:val="28"/>
        </w:rPr>
        <w:t>Kauçuk İp-İplik İthalatında Dampinge Karşı Vergi Uygulaması</w:t>
      </w:r>
    </w:p>
    <w:p w:rsidR="00ED5FBB" w:rsidRPr="00344BA3"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344BA3">
        <w:rPr>
          <w:rFonts w:ascii="Trebuchet MS" w:eastAsiaTheme="minorHAnsi" w:hAnsi="Trebuchet MS" w:cstheme="minorBidi"/>
          <w:color w:val="666666"/>
          <w:sz w:val="23"/>
          <w:szCs w:val="23"/>
          <w:lang w:eastAsia="en-US"/>
        </w:rPr>
        <w:t>Hindistan menşeli 4007.00 tarife alt pozisyonunda yer alan “vulkanize edilmiş kauçuktan iplik ve ipler” in ithalatında yürütülen dampinge kar</w:t>
      </w:r>
      <w:r>
        <w:rPr>
          <w:rFonts w:ascii="Trebuchet MS" w:eastAsiaTheme="minorHAnsi" w:hAnsi="Trebuchet MS" w:cstheme="minorBidi"/>
          <w:color w:val="666666"/>
          <w:sz w:val="23"/>
          <w:szCs w:val="23"/>
          <w:lang w:eastAsia="en-US"/>
        </w:rPr>
        <w:t>şı vergi soruşturması tamamlanmıştır</w:t>
      </w:r>
      <w:r w:rsidRPr="00344BA3">
        <w:rPr>
          <w:rFonts w:ascii="Trebuchet MS" w:eastAsiaTheme="minorHAnsi" w:hAnsi="Trebuchet MS" w:cstheme="minorBidi"/>
          <w:color w:val="666666"/>
          <w:sz w:val="23"/>
          <w:szCs w:val="23"/>
          <w:lang w:eastAsia="en-US"/>
        </w:rPr>
        <w:t>. Soruşturma neticesinde Hindistan menşeli lateks ipliklerin ithalatında CIF %7,1-12,3 oranlarında dampinge karşı kesin önlemle</w:t>
      </w:r>
      <w:r>
        <w:rPr>
          <w:rFonts w:ascii="Trebuchet MS" w:eastAsiaTheme="minorHAnsi" w:hAnsi="Trebuchet MS" w:cstheme="minorBidi"/>
          <w:color w:val="666666"/>
          <w:sz w:val="23"/>
          <w:szCs w:val="23"/>
          <w:lang w:eastAsia="en-US"/>
        </w:rPr>
        <w:t>rin uygulanmasına karar verilmiş olup aşağıdaki linktedir.</w:t>
      </w:r>
    </w:p>
    <w:p w:rsidR="00ED5FBB" w:rsidRDefault="00ED5FBB" w:rsidP="00ED5FBB">
      <w:hyperlink r:id="rId20" w:history="1">
        <w:r w:rsidRPr="003A5143">
          <w:rPr>
            <w:rStyle w:val="Kpr"/>
          </w:rPr>
          <w:t>https://www.resmigazete.gov.tr/eskiler/2024/12/20241218-3.htm</w:t>
        </w:r>
      </w:hyperlink>
    </w:p>
    <w:p w:rsidR="00ED5FBB" w:rsidRPr="00344BA3" w:rsidRDefault="00ED5FBB" w:rsidP="00ED5FBB">
      <w:pPr>
        <w:rPr>
          <w:b/>
          <w:sz w:val="28"/>
          <w:szCs w:val="28"/>
        </w:rPr>
      </w:pPr>
      <w:r>
        <w:rPr>
          <w:b/>
          <w:sz w:val="28"/>
          <w:szCs w:val="28"/>
        </w:rPr>
        <w:t>19</w:t>
      </w:r>
      <w:r>
        <w:rPr>
          <w:b/>
          <w:sz w:val="28"/>
          <w:szCs w:val="28"/>
        </w:rPr>
        <w:t>----</w:t>
      </w:r>
      <w:r w:rsidRPr="00344BA3">
        <w:rPr>
          <w:b/>
          <w:sz w:val="28"/>
          <w:szCs w:val="28"/>
        </w:rPr>
        <w:t>8419.11.00.00.00 Tarifesine Soruşturma Açılması</w:t>
      </w:r>
    </w:p>
    <w:p w:rsidR="00ED5FBB" w:rsidRPr="00344BA3" w:rsidRDefault="00ED5FBB" w:rsidP="00ED5FBB">
      <w:pPr>
        <w:pStyle w:val="NormalWeb"/>
        <w:shd w:val="clear" w:color="auto" w:fill="FFFFFF"/>
        <w:spacing w:before="0" w:beforeAutospacing="0" w:after="160" w:afterAutospacing="0"/>
        <w:rPr>
          <w:rFonts w:ascii="Trebuchet MS" w:eastAsiaTheme="minorHAnsi" w:hAnsi="Trebuchet MS" w:cstheme="minorBidi"/>
          <w:color w:val="666666"/>
          <w:sz w:val="23"/>
          <w:szCs w:val="23"/>
          <w:lang w:eastAsia="en-US"/>
        </w:rPr>
      </w:pPr>
      <w:r w:rsidRPr="00344BA3">
        <w:rPr>
          <w:rFonts w:ascii="Trebuchet MS" w:eastAsiaTheme="minorHAnsi" w:hAnsi="Trebuchet MS" w:cstheme="minorBidi"/>
          <w:color w:val="666666"/>
          <w:sz w:val="23"/>
          <w:szCs w:val="23"/>
          <w:lang w:eastAsia="en-US"/>
        </w:rPr>
        <w:t>18.12.2024 tarih ve 32756 sayılı Resmi Gazete de yayımlanan 2024/37 sayılı İthalatta Haksız Rekabetin Önlenmesine İlişkin Tebliğ ile Çin Halk Cumhuriyeti menşeli 8419.11.00.00.00 gümrük tarife istatistik pozisyonu altında sınıflandırılan </w:t>
      </w:r>
      <w:r w:rsidRPr="00344BA3">
        <w:rPr>
          <w:rFonts w:ascii="Trebuchet MS" w:eastAsiaTheme="minorHAnsi" w:hAnsi="Trebuchet MS" w:cstheme="minorBidi"/>
          <w:b/>
          <w:bCs/>
          <w:sz w:val="23"/>
          <w:szCs w:val="23"/>
          <w:lang w:eastAsia="en-US"/>
        </w:rPr>
        <w:t>“gazla çalışan anında su ısıtıcılar”</w:t>
      </w:r>
      <w:r w:rsidRPr="00344BA3">
        <w:rPr>
          <w:rFonts w:ascii="Trebuchet MS" w:eastAsiaTheme="minorHAnsi" w:hAnsi="Trebuchet MS" w:cstheme="minorBidi"/>
          <w:color w:val="666666"/>
          <w:sz w:val="23"/>
          <w:szCs w:val="23"/>
          <w:lang w:eastAsia="en-US"/>
        </w:rPr>
        <w:t> ithalatına yönelik yürürlükte bulunan dampinge karşı kesin önleme ilişkin olarak bir nihai gözden geçirme sor</w:t>
      </w:r>
      <w:r>
        <w:rPr>
          <w:rFonts w:ascii="Trebuchet MS" w:eastAsiaTheme="minorHAnsi" w:hAnsi="Trebuchet MS" w:cstheme="minorBidi"/>
          <w:color w:val="666666"/>
          <w:sz w:val="23"/>
          <w:szCs w:val="23"/>
          <w:lang w:eastAsia="en-US"/>
        </w:rPr>
        <w:t>uşturmasına ilişkin karar aşağıdaki linktedir.</w:t>
      </w:r>
    </w:p>
    <w:p w:rsidR="00ED5FBB" w:rsidRPr="00065499" w:rsidRDefault="00ED5FBB" w:rsidP="00ED5FBB">
      <w:pPr>
        <w:rPr>
          <w:rStyle w:val="Kpr"/>
        </w:rPr>
      </w:pPr>
      <w:hyperlink r:id="rId21" w:history="1">
        <w:r w:rsidRPr="00065499">
          <w:rPr>
            <w:rStyle w:val="Kpr"/>
          </w:rPr>
          <w:t>https://www.resmigazete.gov.tr/eskiler/2024/12/20241218-4.htm</w:t>
        </w:r>
      </w:hyperlink>
    </w:p>
    <w:p w:rsidR="00ED5FBB" w:rsidRPr="00344BA3" w:rsidRDefault="00ED5FBB" w:rsidP="00ED5FBB">
      <w:pPr>
        <w:rPr>
          <w:b/>
          <w:sz w:val="28"/>
          <w:szCs w:val="28"/>
        </w:rPr>
      </w:pPr>
      <w:r>
        <w:rPr>
          <w:b/>
          <w:sz w:val="28"/>
          <w:szCs w:val="28"/>
        </w:rPr>
        <w:t>20</w:t>
      </w:r>
      <w:r>
        <w:rPr>
          <w:b/>
          <w:sz w:val="28"/>
          <w:szCs w:val="28"/>
        </w:rPr>
        <w:t>----</w:t>
      </w:r>
      <w:r w:rsidRPr="00344BA3">
        <w:rPr>
          <w:b/>
          <w:sz w:val="28"/>
          <w:szCs w:val="28"/>
        </w:rPr>
        <w:t>Gümrük Ve</w:t>
      </w:r>
      <w:r>
        <w:rPr>
          <w:b/>
          <w:sz w:val="28"/>
          <w:szCs w:val="28"/>
        </w:rPr>
        <w:t>rgi ve Ceza Sorgulama Sistemi Hakkında</w:t>
      </w:r>
    </w:p>
    <w:p w:rsidR="00ED5FBB" w:rsidRPr="00344BA3" w:rsidRDefault="00ED5FBB" w:rsidP="00ED5FBB">
      <w:pPr>
        <w:rPr>
          <w:rFonts w:ascii="Trebuchet MS" w:hAnsi="Trebuchet MS"/>
          <w:color w:val="666666"/>
          <w:sz w:val="23"/>
          <w:szCs w:val="23"/>
        </w:rPr>
      </w:pPr>
      <w:r w:rsidRPr="00344BA3">
        <w:rPr>
          <w:rFonts w:ascii="Trebuchet MS" w:hAnsi="Trebuchet MS"/>
          <w:color w:val="666666"/>
          <w:sz w:val="23"/>
          <w:szCs w:val="23"/>
        </w:rPr>
        <w:t xml:space="preserve">Gümrükler Genel </w:t>
      </w:r>
      <w:r>
        <w:rPr>
          <w:rFonts w:ascii="Trebuchet MS" w:hAnsi="Trebuchet MS"/>
          <w:color w:val="666666"/>
          <w:sz w:val="23"/>
          <w:szCs w:val="23"/>
        </w:rPr>
        <w:t>Müdürlüğünün aşağıdaki linkte</w:t>
      </w:r>
      <w:r w:rsidRPr="00344BA3">
        <w:rPr>
          <w:rFonts w:ascii="Trebuchet MS" w:hAnsi="Trebuchet MS"/>
          <w:color w:val="666666"/>
          <w:sz w:val="23"/>
          <w:szCs w:val="23"/>
        </w:rPr>
        <w:t xml:space="preserve"> yer alan yazı içeriğinde ceza ve ek tahakkuk karar sorgulama ekranına ‘yasal dayanak bilgisi’ alanın eklendiği belirtilmiştir.</w:t>
      </w:r>
    </w:p>
    <w:p w:rsidR="00ED5FBB" w:rsidRDefault="00ED5FBB" w:rsidP="00ED5FBB">
      <w:hyperlink r:id="rId22" w:history="1">
        <w:r w:rsidRPr="003A5143">
          <w:rPr>
            <w:rStyle w:val="Kpr"/>
          </w:rPr>
          <w:t>https://www.lojiblog.com/services/viewer.php?data=36341</w:t>
        </w:r>
      </w:hyperlink>
    </w:p>
    <w:p w:rsidR="00ED5FBB" w:rsidRPr="00344BA3" w:rsidRDefault="00ED5FBB" w:rsidP="00ED5FBB">
      <w:pPr>
        <w:rPr>
          <w:b/>
          <w:sz w:val="28"/>
          <w:szCs w:val="28"/>
        </w:rPr>
      </w:pPr>
      <w:r>
        <w:rPr>
          <w:b/>
          <w:sz w:val="28"/>
          <w:szCs w:val="28"/>
        </w:rPr>
        <w:t>21</w:t>
      </w:r>
      <w:r>
        <w:rPr>
          <w:b/>
          <w:sz w:val="28"/>
          <w:szCs w:val="28"/>
        </w:rPr>
        <w:t>----</w:t>
      </w:r>
      <w:r w:rsidRPr="00344BA3">
        <w:rPr>
          <w:b/>
          <w:sz w:val="28"/>
          <w:szCs w:val="28"/>
        </w:rPr>
        <w:t>2022/9 Sayılı Posta ve Hızlı Kargo Taşımacılığı Genelgesinde Değişiklik Yapıldı</w:t>
      </w:r>
    </w:p>
    <w:p w:rsidR="00ED5FBB" w:rsidRPr="00344BA3" w:rsidRDefault="00ED5FBB" w:rsidP="00ED5FBB">
      <w:pPr>
        <w:shd w:val="clear" w:color="auto" w:fill="FFFFFF"/>
        <w:spacing w:after="240" w:line="240" w:lineRule="auto"/>
        <w:jc w:val="both"/>
        <w:rPr>
          <w:rFonts w:ascii="Trebuchet MS" w:hAnsi="Trebuchet MS"/>
          <w:color w:val="666666"/>
          <w:sz w:val="23"/>
          <w:szCs w:val="23"/>
        </w:rPr>
      </w:pPr>
      <w:r w:rsidRPr="00344BA3">
        <w:rPr>
          <w:rFonts w:ascii="Trebuchet MS" w:hAnsi="Trebuchet MS"/>
          <w:color w:val="666666"/>
          <w:sz w:val="23"/>
          <w:szCs w:val="23"/>
        </w:rPr>
        <w:t>Bahse konu genelge değişikliğine göre;</w:t>
      </w:r>
    </w:p>
    <w:p w:rsidR="00ED5FBB" w:rsidRPr="00344BA3" w:rsidRDefault="00ED5FBB" w:rsidP="00ED5FBB">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Bir basitleştirilmiş gümrük beyannamesine eklenebilecek taşıma senedi sayısı ithalat işlemleri için maksimum 2.000 (iki bin) adet iken yeni düzenleme ile 500 adede düşürülmüştür.</w:t>
      </w:r>
    </w:p>
    <w:p w:rsidR="00ED5FBB" w:rsidRPr="00344BA3" w:rsidRDefault="00ED5FBB" w:rsidP="00ED5FBB">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Eşyanın kıymeti ibraz edilen faturaya, satış fişine ve/veya ödeme yapılan belgeye göre belirlenir. Kıymeti gösteren bilgi belge bulunmuyorsa veya belgeye göre kıymetin düşük bulunması halinde kıymet gümrük idaresince belirlenecektir.</w:t>
      </w:r>
    </w:p>
    <w:p w:rsidR="00ED5FBB" w:rsidRPr="00344BA3" w:rsidRDefault="00ED5FBB" w:rsidP="00ED5FBB">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Navlun giderinin dâhil olduğu teslim şekillerinde, ibraz edilen fatura, satış fişi veya eşya bedelinin ödendiğine ilişkin belgede eşyanın fiilen ödenen veya ödenecek fiyatı ile navlun gideri ayrı ayrı gösterilecek.</w:t>
      </w:r>
    </w:p>
    <w:p w:rsidR="00ED5FBB" w:rsidRPr="00344BA3" w:rsidRDefault="00ED5FBB" w:rsidP="00ED5FBB">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Navlun giderinin bu belgelerde ayrı gösterilmediği durumlarda, 3 (üç) avro tutarında emsal navlun gideri fiilen ödenen veya ödenecek fiyata eklenecektir.</w:t>
      </w:r>
    </w:p>
    <w:p w:rsidR="00ED5FBB" w:rsidRPr="00344BA3" w:rsidRDefault="00ED5FBB" w:rsidP="00ED5FBB">
      <w:pPr>
        <w:shd w:val="clear" w:color="auto" w:fill="FFFFFF"/>
        <w:spacing w:after="240" w:line="240" w:lineRule="auto"/>
        <w:jc w:val="both"/>
        <w:rPr>
          <w:rFonts w:ascii="Trebuchet MS" w:hAnsi="Trebuchet MS"/>
          <w:color w:val="666666"/>
          <w:sz w:val="23"/>
          <w:szCs w:val="23"/>
        </w:rPr>
      </w:pPr>
      <w:r w:rsidRPr="00344BA3">
        <w:rPr>
          <w:rFonts w:ascii="Trebuchet MS" w:hAnsi="Trebuchet MS"/>
          <w:color w:val="666666"/>
          <w:sz w:val="23"/>
          <w:szCs w:val="23"/>
        </w:rPr>
        <w:t>Navlun giderinin dâhil olmadığı teslim şekillerinde ise, navlun makbuzu ibrazının imkânsız olduğu veya kabul edilebilir nitelikte bulunmadığı hallerde, 3 (üç) avro tutarında emsal navlun gideri fiilen ödenen veya ödenecek fiyata eklenecektir.</w:t>
      </w:r>
    </w:p>
    <w:p w:rsidR="00ED5FBB" w:rsidRPr="00344BA3" w:rsidRDefault="00ED5FBB" w:rsidP="00ED5FBB">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Basitleştirilmiş gümrük beyannamesinde eşyanın kıymeti ile navlun gideri taşıma senedinin ilgili bölümlerinde ayrı ayrı beyan edilmelidir.</w:t>
      </w:r>
    </w:p>
    <w:p w:rsidR="00ED5FBB" w:rsidRPr="00344BA3" w:rsidRDefault="00ED5FBB" w:rsidP="00ED5FBB">
      <w:pPr>
        <w:shd w:val="clear" w:color="auto" w:fill="FFFFFF"/>
        <w:spacing w:after="240" w:line="240" w:lineRule="auto"/>
        <w:jc w:val="both"/>
        <w:rPr>
          <w:rFonts w:ascii="Trebuchet MS" w:hAnsi="Trebuchet MS"/>
          <w:color w:val="666666"/>
          <w:sz w:val="23"/>
          <w:szCs w:val="23"/>
        </w:rPr>
      </w:pPr>
      <w:r>
        <w:rPr>
          <w:rFonts w:ascii="Trebuchet MS" w:hAnsi="Trebuchet MS"/>
          <w:color w:val="666666"/>
          <w:sz w:val="23"/>
          <w:szCs w:val="23"/>
        </w:rPr>
        <w:t>İlgili Genelge aşağıdaki linkte olup 27.12.2024 tarihinde yürürlüğe girmiştir.</w:t>
      </w:r>
    </w:p>
    <w:p w:rsidR="00ED5FBB" w:rsidRDefault="00ED5FBB" w:rsidP="00ED5FBB">
      <w:hyperlink r:id="rId23" w:history="1">
        <w:r w:rsidRPr="003A5143">
          <w:rPr>
            <w:rStyle w:val="Kpr"/>
          </w:rPr>
          <w:t>https://www.lojiblog.com/services/viewer.php?data=36723</w:t>
        </w:r>
      </w:hyperlink>
    </w:p>
    <w:p w:rsidR="00ED5FBB" w:rsidRPr="00344BA3" w:rsidRDefault="00ED5FBB" w:rsidP="00ED5FBB">
      <w:pPr>
        <w:rPr>
          <w:b/>
          <w:sz w:val="28"/>
          <w:szCs w:val="28"/>
        </w:rPr>
      </w:pPr>
      <w:r>
        <w:rPr>
          <w:b/>
          <w:sz w:val="28"/>
          <w:szCs w:val="28"/>
        </w:rPr>
        <w:t>22</w:t>
      </w:r>
      <w:r>
        <w:rPr>
          <w:b/>
          <w:sz w:val="28"/>
          <w:szCs w:val="28"/>
        </w:rPr>
        <w:t>----</w:t>
      </w:r>
      <w:r w:rsidRPr="00344BA3">
        <w:rPr>
          <w:b/>
          <w:sz w:val="28"/>
          <w:szCs w:val="28"/>
        </w:rPr>
        <w:t>Ateşe Dayanıklı Tuğla İthalatında Dampinge Karşı Vergi</w:t>
      </w:r>
    </w:p>
    <w:p w:rsidR="00ED5FBB" w:rsidRPr="00344BA3" w:rsidRDefault="00ED5FBB" w:rsidP="00ED5FBB">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Ateşe dayanıklı tuğla olarak nitelendirilen Çin Halk Cumhuriyeti menşeli “kromit ateş tuğlalar”, “magnezit ateş tuğlalar”, “krom magnezit ateş tuğlalar” ve “magnezit, periklas formunda magneziya, dolomit formundaki ürünler için başlatılan nihai gözden geçirme soruşturması tamamlanmıştır.</w:t>
      </w:r>
    </w:p>
    <w:p w:rsidR="00ED5FBB" w:rsidRPr="00344BA3" w:rsidRDefault="00ED5FBB" w:rsidP="00ED5FBB">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Belirtilen ürün grubundaki eşyalar dampinge karşı önlem145 ABD Doları/ton yerine 200 AB</w:t>
      </w:r>
      <w:r>
        <w:rPr>
          <w:rFonts w:ascii="Trebuchet MS" w:hAnsi="Trebuchet MS"/>
          <w:color w:val="666666"/>
          <w:sz w:val="23"/>
          <w:szCs w:val="23"/>
        </w:rPr>
        <w:t>D Doları/ton olarak uygulanacaktır.</w:t>
      </w:r>
    </w:p>
    <w:p w:rsidR="00ED5FBB" w:rsidRPr="00065499" w:rsidRDefault="00ED5FBB" w:rsidP="00ED5FBB">
      <w:pPr>
        <w:spacing w:line="240" w:lineRule="auto"/>
        <w:jc w:val="both"/>
        <w:rPr>
          <w:rFonts w:ascii="Calibri" w:eastAsia="Times New Roman" w:hAnsi="Calibri" w:cs="Calibri"/>
          <w:lang w:eastAsia="tr-TR"/>
        </w:rPr>
      </w:pPr>
      <w:hyperlink r:id="rId24" w:history="1">
        <w:r w:rsidRPr="003A5143">
          <w:rPr>
            <w:rStyle w:val="Kpr"/>
            <w:rFonts w:ascii="Calibri" w:eastAsia="Times New Roman" w:hAnsi="Calibri" w:cs="Calibri"/>
            <w:lang w:eastAsia="tr-TR"/>
          </w:rPr>
          <w:t>https://www.resmigazete.gov.tr/eskiler/2024/12/20241220-4.htm</w:t>
        </w:r>
      </w:hyperlink>
    </w:p>
    <w:tbl>
      <w:tblPr>
        <w:tblW w:w="10584" w:type="dxa"/>
        <w:tblInd w:w="-5" w:type="dxa"/>
        <w:tblCellMar>
          <w:left w:w="0" w:type="dxa"/>
          <w:right w:w="0" w:type="dxa"/>
        </w:tblCellMar>
        <w:tblLook w:val="04A0" w:firstRow="1" w:lastRow="0" w:firstColumn="1" w:lastColumn="0" w:noHBand="0" w:noVBand="1"/>
      </w:tblPr>
      <w:tblGrid>
        <w:gridCol w:w="1704"/>
        <w:gridCol w:w="2580"/>
        <w:gridCol w:w="1940"/>
        <w:gridCol w:w="2180"/>
        <w:gridCol w:w="2180"/>
      </w:tblGrid>
      <w:tr w:rsidR="00ED5FBB" w:rsidRPr="00344BA3" w:rsidTr="007E466D">
        <w:trPr>
          <w:trHeight w:val="288"/>
        </w:trPr>
        <w:tc>
          <w:tcPr>
            <w:tcW w:w="170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GTİP/GTP</w:t>
            </w:r>
          </w:p>
        </w:tc>
        <w:tc>
          <w:tcPr>
            <w:tcW w:w="2580" w:type="dxa"/>
            <w:tcBorders>
              <w:top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Eşyanın Tanımı</w:t>
            </w:r>
          </w:p>
        </w:tc>
        <w:tc>
          <w:tcPr>
            <w:tcW w:w="1940" w:type="dxa"/>
            <w:tcBorders>
              <w:top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Menşe Ülke</w:t>
            </w:r>
          </w:p>
        </w:tc>
        <w:tc>
          <w:tcPr>
            <w:tcW w:w="2180" w:type="dxa"/>
            <w:tcBorders>
              <w:top w:val="single" w:sz="8" w:space="0" w:color="auto"/>
              <w:bottom w:val="single" w:sz="8" w:space="0" w:color="auto"/>
            </w:tcBorders>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2180" w:type="dxa"/>
            <w:tcBorders>
              <w:top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Dampinge Karşı Önlem</w:t>
            </w:r>
          </w:p>
        </w:tc>
      </w:tr>
      <w:tr w:rsidR="00ED5FBB" w:rsidRPr="00344BA3" w:rsidTr="007E466D">
        <w:trPr>
          <w:trHeight w:val="288"/>
        </w:trPr>
        <w:tc>
          <w:tcPr>
            <w:tcW w:w="1704" w:type="dxa"/>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6902.10.00.10.11</w:t>
            </w:r>
          </w:p>
        </w:tc>
        <w:tc>
          <w:tcPr>
            <w:tcW w:w="2580" w:type="dxa"/>
            <w:tcBorders>
              <w:bottom w:val="single" w:sz="8" w:space="0" w:color="auto"/>
              <w:right w:val="single" w:sz="8" w:space="0" w:color="auto"/>
            </w:tcBorders>
            <w:noWrap/>
            <w:tcMar>
              <w:top w:w="0" w:type="dxa"/>
              <w:left w:w="70" w:type="dxa"/>
              <w:bottom w:w="0" w:type="dxa"/>
              <w:right w:w="70" w:type="dxa"/>
            </w:tcMar>
            <w:vAlign w:val="bottom"/>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Kromit ateş tuğlalar</w:t>
            </w:r>
          </w:p>
        </w:tc>
        <w:tc>
          <w:tcPr>
            <w:tcW w:w="1940" w:type="dxa"/>
            <w:vMerge w:val="restart"/>
            <w:tcBorders>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Çin Halk Cumhuriyeti</w:t>
            </w:r>
          </w:p>
        </w:tc>
        <w:tc>
          <w:tcPr>
            <w:tcW w:w="2180" w:type="dxa"/>
            <w:tcBorders>
              <w:bottom w:val="single" w:sz="8" w:space="0" w:color="auto"/>
            </w:tcBorders>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2180" w:type="dxa"/>
            <w:vMerge w:val="restart"/>
            <w:tcBorders>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200 ABD doları/ton</w:t>
            </w:r>
          </w:p>
        </w:tc>
      </w:tr>
      <w:tr w:rsidR="00ED5FBB" w:rsidRPr="00344BA3" w:rsidTr="007E466D">
        <w:trPr>
          <w:trHeight w:val="288"/>
        </w:trPr>
        <w:tc>
          <w:tcPr>
            <w:tcW w:w="1704" w:type="dxa"/>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6902.10.00.10.12</w:t>
            </w:r>
          </w:p>
        </w:tc>
        <w:tc>
          <w:tcPr>
            <w:tcW w:w="2580" w:type="dxa"/>
            <w:tcBorders>
              <w:bottom w:val="single" w:sz="8" w:space="0" w:color="auto"/>
              <w:right w:val="single" w:sz="8" w:space="0" w:color="auto"/>
            </w:tcBorders>
            <w:noWrap/>
            <w:tcMar>
              <w:top w:w="0" w:type="dxa"/>
              <w:left w:w="70" w:type="dxa"/>
              <w:bottom w:w="0" w:type="dxa"/>
              <w:right w:w="70" w:type="dxa"/>
            </w:tcMar>
            <w:vAlign w:val="bottom"/>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Magnezit ateş tuğlalar</w:t>
            </w:r>
          </w:p>
        </w:tc>
        <w:tc>
          <w:tcPr>
            <w:tcW w:w="0" w:type="auto"/>
            <w:vMerge/>
            <w:tcBorders>
              <w:bottom w:val="single" w:sz="8" w:space="0" w:color="auto"/>
              <w:right w:val="single" w:sz="8" w:space="0" w:color="auto"/>
            </w:tcBorders>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0" w:type="auto"/>
            <w:tcBorders>
              <w:bottom w:val="single" w:sz="8" w:space="0" w:color="auto"/>
            </w:tcBorders>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0" w:type="auto"/>
            <w:vMerge/>
            <w:tcBorders>
              <w:bottom w:val="single" w:sz="8" w:space="0" w:color="auto"/>
              <w:right w:val="single" w:sz="8" w:space="0" w:color="auto"/>
            </w:tcBorders>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p>
        </w:tc>
      </w:tr>
      <w:tr w:rsidR="00ED5FBB" w:rsidRPr="00344BA3" w:rsidTr="007E466D">
        <w:trPr>
          <w:trHeight w:val="288"/>
        </w:trPr>
        <w:tc>
          <w:tcPr>
            <w:tcW w:w="1704" w:type="dxa"/>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6902.10.00.10.13</w:t>
            </w:r>
          </w:p>
        </w:tc>
        <w:tc>
          <w:tcPr>
            <w:tcW w:w="2580" w:type="dxa"/>
            <w:tcBorders>
              <w:bottom w:val="single" w:sz="8" w:space="0" w:color="auto"/>
              <w:right w:val="single" w:sz="8" w:space="0" w:color="auto"/>
            </w:tcBorders>
            <w:noWrap/>
            <w:tcMar>
              <w:top w:w="0" w:type="dxa"/>
              <w:left w:w="70" w:type="dxa"/>
              <w:bottom w:w="0" w:type="dxa"/>
              <w:right w:w="70" w:type="dxa"/>
            </w:tcMar>
            <w:vAlign w:val="bottom"/>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Krom magnezit ateş tuğlalar</w:t>
            </w:r>
          </w:p>
        </w:tc>
        <w:tc>
          <w:tcPr>
            <w:tcW w:w="0" w:type="auto"/>
            <w:vMerge/>
            <w:tcBorders>
              <w:bottom w:val="single" w:sz="8" w:space="0" w:color="auto"/>
              <w:right w:val="single" w:sz="8" w:space="0" w:color="auto"/>
            </w:tcBorders>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0" w:type="auto"/>
            <w:tcBorders>
              <w:bottom w:val="single" w:sz="8" w:space="0" w:color="auto"/>
            </w:tcBorders>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0" w:type="auto"/>
            <w:vMerge/>
            <w:tcBorders>
              <w:bottom w:val="single" w:sz="8" w:space="0" w:color="auto"/>
              <w:right w:val="single" w:sz="8" w:space="0" w:color="auto"/>
            </w:tcBorders>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p>
        </w:tc>
      </w:tr>
      <w:tr w:rsidR="00ED5FBB" w:rsidRPr="00344BA3" w:rsidTr="007E466D">
        <w:trPr>
          <w:trHeight w:val="2592"/>
        </w:trPr>
        <w:tc>
          <w:tcPr>
            <w:tcW w:w="1704" w:type="dxa"/>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6815.91</w:t>
            </w:r>
          </w:p>
        </w:tc>
        <w:tc>
          <w:tcPr>
            <w:tcW w:w="2580" w:type="dxa"/>
            <w:tcBorders>
              <w:bottom w:val="single" w:sz="8" w:space="0" w:color="auto"/>
              <w:right w:val="single" w:sz="8" w:space="0" w:color="auto"/>
            </w:tcBorders>
            <w:tcMar>
              <w:top w:w="0" w:type="dxa"/>
              <w:left w:w="70" w:type="dxa"/>
              <w:bottom w:w="0" w:type="dxa"/>
              <w:right w:w="70" w:type="dxa"/>
            </w:tcMar>
            <w:vAlign w:val="bottom"/>
            <w:hideMark/>
          </w:tcPr>
          <w:p w:rsidR="00ED5FBB" w:rsidRPr="00344BA3" w:rsidRDefault="00ED5FBB" w:rsidP="007E466D">
            <w:pPr>
              <w:shd w:val="clear" w:color="auto" w:fill="FFFFFF"/>
              <w:spacing w:after="240" w:line="240" w:lineRule="auto"/>
              <w:rPr>
                <w:rFonts w:ascii="Trebuchet MS" w:hAnsi="Trebuchet MS"/>
                <w:color w:val="666666"/>
                <w:sz w:val="23"/>
                <w:szCs w:val="23"/>
              </w:rPr>
            </w:pPr>
            <w:r w:rsidRPr="00344BA3">
              <w:rPr>
                <w:rFonts w:ascii="Trebuchet MS" w:hAnsi="Trebuchet MS"/>
                <w:color w:val="666666"/>
                <w:sz w:val="23"/>
                <w:szCs w:val="23"/>
              </w:rPr>
              <w:t>Magnezit, periklas formunda magneziya, dolomit (</w:t>
            </w:r>
            <w:proofErr w:type="spellStart"/>
            <w:r w:rsidRPr="00344BA3">
              <w:rPr>
                <w:rFonts w:ascii="Trebuchet MS" w:hAnsi="Trebuchet MS"/>
                <w:color w:val="666666"/>
                <w:sz w:val="23"/>
                <w:szCs w:val="23"/>
              </w:rPr>
              <w:t>dolim</w:t>
            </w:r>
            <w:proofErr w:type="spellEnd"/>
            <w:r w:rsidRPr="00344BA3">
              <w:rPr>
                <w:rFonts w:ascii="Trebuchet MS" w:hAnsi="Trebuchet MS"/>
                <w:color w:val="666666"/>
                <w:sz w:val="23"/>
                <w:szCs w:val="23"/>
              </w:rPr>
              <w:t xml:space="preserve"> formunda dâhil) veya kromit içerenler (dolomit içerenler hariç; magnezyum oksit esaslı, 3 mm ile 30 mm arası kalınlıklarda yapı levhaları hariç)</w:t>
            </w:r>
          </w:p>
        </w:tc>
        <w:tc>
          <w:tcPr>
            <w:tcW w:w="0" w:type="auto"/>
            <w:vMerge/>
            <w:tcBorders>
              <w:bottom w:val="single" w:sz="8" w:space="0" w:color="auto"/>
              <w:right w:val="single" w:sz="8" w:space="0" w:color="auto"/>
            </w:tcBorders>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0" w:type="auto"/>
            <w:tcBorders>
              <w:bottom w:val="single" w:sz="8" w:space="0" w:color="auto"/>
            </w:tcBorders>
          </w:tcPr>
          <w:p w:rsidR="00ED5FBB" w:rsidRPr="00344BA3" w:rsidRDefault="00ED5FBB" w:rsidP="007E466D">
            <w:pPr>
              <w:shd w:val="clear" w:color="auto" w:fill="FFFFFF"/>
              <w:spacing w:after="240" w:line="240" w:lineRule="auto"/>
              <w:rPr>
                <w:rFonts w:ascii="Trebuchet MS" w:hAnsi="Trebuchet MS"/>
                <w:color w:val="666666"/>
                <w:sz w:val="23"/>
                <w:szCs w:val="23"/>
              </w:rPr>
            </w:pPr>
          </w:p>
        </w:tc>
        <w:tc>
          <w:tcPr>
            <w:tcW w:w="0" w:type="auto"/>
            <w:vMerge/>
            <w:tcBorders>
              <w:bottom w:val="single" w:sz="8" w:space="0" w:color="auto"/>
              <w:right w:val="single" w:sz="8" w:space="0" w:color="auto"/>
            </w:tcBorders>
            <w:vAlign w:val="center"/>
            <w:hideMark/>
          </w:tcPr>
          <w:p w:rsidR="00ED5FBB" w:rsidRPr="00344BA3" w:rsidRDefault="00ED5FBB" w:rsidP="007E466D">
            <w:pPr>
              <w:shd w:val="clear" w:color="auto" w:fill="FFFFFF"/>
              <w:spacing w:after="240" w:line="240" w:lineRule="auto"/>
              <w:rPr>
                <w:rFonts w:ascii="Trebuchet MS" w:hAnsi="Trebuchet MS"/>
                <w:color w:val="666666"/>
                <w:sz w:val="23"/>
                <w:szCs w:val="23"/>
              </w:rPr>
            </w:pPr>
          </w:p>
        </w:tc>
      </w:tr>
    </w:tbl>
    <w:p w:rsidR="00ED5FBB" w:rsidRDefault="00ED5FBB" w:rsidP="00ED5FBB"/>
    <w:p w:rsidR="00ED5FBB" w:rsidRPr="00B97A04" w:rsidRDefault="00ED5FBB" w:rsidP="00ED5FBB">
      <w:pPr>
        <w:rPr>
          <w:b/>
          <w:sz w:val="28"/>
          <w:szCs w:val="28"/>
        </w:rPr>
      </w:pPr>
      <w:r>
        <w:rPr>
          <w:b/>
          <w:sz w:val="28"/>
          <w:szCs w:val="28"/>
        </w:rPr>
        <w:t>23</w:t>
      </w:r>
      <w:r>
        <w:rPr>
          <w:b/>
          <w:sz w:val="28"/>
          <w:szCs w:val="28"/>
        </w:rPr>
        <w:t>----</w:t>
      </w:r>
      <w:r w:rsidRPr="00B97A04">
        <w:rPr>
          <w:b/>
          <w:sz w:val="28"/>
          <w:szCs w:val="28"/>
        </w:rPr>
        <w:t>Akaryakıt Haricinde Kalan Petrol Ürünlerine ilişkin Tebliğ Eki Liste Güncellendi</w:t>
      </w:r>
    </w:p>
    <w:p w:rsidR="00ED5FBB" w:rsidRPr="00811843" w:rsidRDefault="00ED5FBB" w:rsidP="00ED5FBB">
      <w:pPr>
        <w:shd w:val="clear" w:color="auto" w:fill="FFFFFF"/>
        <w:spacing w:after="240" w:line="240" w:lineRule="auto"/>
        <w:jc w:val="both"/>
        <w:rPr>
          <w:rFonts w:ascii="Trebuchet MS" w:eastAsia="Times New Roman" w:hAnsi="Trebuchet MS" w:cs="Times New Roman"/>
          <w:color w:val="666666"/>
          <w:sz w:val="24"/>
          <w:szCs w:val="24"/>
          <w:lang w:eastAsia="tr-TR"/>
        </w:rPr>
      </w:pPr>
      <w:r>
        <w:rPr>
          <w:rFonts w:ascii="Trebuchet MS" w:eastAsia="Times New Roman" w:hAnsi="Trebuchet MS" w:cs="Times New Roman"/>
          <w:color w:val="212529"/>
          <w:sz w:val="24"/>
          <w:szCs w:val="24"/>
          <w:lang w:eastAsia="tr-TR"/>
        </w:rPr>
        <w:t>2</w:t>
      </w:r>
      <w:r w:rsidRPr="00811843">
        <w:rPr>
          <w:rFonts w:ascii="Trebuchet MS" w:eastAsia="Times New Roman" w:hAnsi="Trebuchet MS" w:cs="Times New Roman"/>
          <w:color w:val="212529"/>
          <w:sz w:val="24"/>
          <w:szCs w:val="24"/>
          <w:lang w:eastAsia="tr-TR"/>
        </w:rPr>
        <w:t>0.12.2024 tarih ve 32758 sayılı Resmi Gazete de yayımlanan Akaryakıt Haricinde Kalan Petrol Ürünlerinin Yurt İçi ve Yurt Dışı Kaynaklardan Teminine İlişkin Usul ve Esaslar Hakkında Tebliği eki E</w:t>
      </w:r>
      <w:r>
        <w:rPr>
          <w:rFonts w:ascii="Trebuchet MS" w:eastAsia="Times New Roman" w:hAnsi="Trebuchet MS" w:cs="Times New Roman"/>
          <w:color w:val="212529"/>
          <w:sz w:val="24"/>
          <w:szCs w:val="24"/>
          <w:lang w:eastAsia="tr-TR"/>
        </w:rPr>
        <w:t>K-1 sayılı listesi değiştirilmiştir.</w:t>
      </w:r>
    </w:p>
    <w:p w:rsidR="00ED5FBB" w:rsidRPr="00811843" w:rsidRDefault="00ED5FBB" w:rsidP="00ED5FBB">
      <w:pPr>
        <w:shd w:val="clear" w:color="auto" w:fill="FFFFFF"/>
        <w:spacing w:after="240" w:line="240" w:lineRule="auto"/>
        <w:jc w:val="both"/>
        <w:rPr>
          <w:rFonts w:ascii="Trebuchet MS" w:eastAsia="Times New Roman" w:hAnsi="Trebuchet MS" w:cs="Times New Roman"/>
          <w:color w:val="666666"/>
          <w:sz w:val="24"/>
          <w:szCs w:val="24"/>
          <w:lang w:eastAsia="tr-TR"/>
        </w:rPr>
      </w:pPr>
      <w:r w:rsidRPr="00811843">
        <w:rPr>
          <w:rFonts w:ascii="Trebuchet MS" w:eastAsia="Times New Roman" w:hAnsi="Trebuchet MS" w:cs="Times New Roman"/>
          <w:color w:val="212529"/>
          <w:sz w:val="24"/>
          <w:szCs w:val="24"/>
          <w:lang w:eastAsia="tr-TR"/>
        </w:rPr>
        <w:t>Değişiklik kapsamında ayda toplam 1.000 kilogramı aşmaması veya azami 5 kilogram kapasiteli ambalajlar içinde olması koşuluyla ithalinde EPDK yazısı aranmayan</w:t>
      </w:r>
      <w:r>
        <w:rPr>
          <w:rFonts w:ascii="Trebuchet MS" w:eastAsia="Times New Roman" w:hAnsi="Trebuchet MS" w:cs="Times New Roman"/>
          <w:color w:val="212529"/>
          <w:sz w:val="24"/>
          <w:szCs w:val="24"/>
          <w:lang w:eastAsia="tr-TR"/>
        </w:rPr>
        <w:t xml:space="preserve"> akaryakıt harici P</w:t>
      </w:r>
      <w:r w:rsidRPr="00811843">
        <w:rPr>
          <w:rFonts w:ascii="Trebuchet MS" w:eastAsia="Times New Roman" w:hAnsi="Trebuchet MS" w:cs="Times New Roman"/>
          <w:color w:val="212529"/>
          <w:sz w:val="24"/>
          <w:szCs w:val="24"/>
          <w:lang w:eastAsia="tr-TR"/>
        </w:rPr>
        <w:t>etrol ürünleri listelenmektedir.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25" w:history="1">
        <w:r w:rsidRPr="006540F3">
          <w:rPr>
            <w:rStyle w:val="Kpr"/>
            <w:rFonts w:ascii="Calibri" w:eastAsia="Times New Roman" w:hAnsi="Calibri" w:cs="Calibri"/>
            <w:lang w:eastAsia="tr-TR"/>
          </w:rPr>
          <w:t>https://www.resmigazete.gov.tr/eskiler/2024/12/20241220-5.htm</w:t>
        </w:r>
      </w:hyperlink>
    </w:p>
    <w:p w:rsidR="00ED5FBB" w:rsidRPr="00A84518" w:rsidRDefault="00ED5FBB" w:rsidP="00ED5FBB">
      <w:pPr>
        <w:shd w:val="clear" w:color="auto" w:fill="FFFFFF"/>
        <w:spacing w:line="240" w:lineRule="auto"/>
        <w:rPr>
          <w:b/>
          <w:sz w:val="28"/>
          <w:szCs w:val="28"/>
        </w:rPr>
      </w:pPr>
      <w:r>
        <w:rPr>
          <w:b/>
          <w:sz w:val="28"/>
          <w:szCs w:val="28"/>
        </w:rPr>
        <w:t>24</w:t>
      </w:r>
      <w:r>
        <w:rPr>
          <w:b/>
          <w:sz w:val="28"/>
          <w:szCs w:val="28"/>
        </w:rPr>
        <w:t>----</w:t>
      </w:r>
      <w:r w:rsidRPr="00A84518">
        <w:rPr>
          <w:b/>
          <w:sz w:val="28"/>
          <w:szCs w:val="28"/>
        </w:rPr>
        <w:t>Ürün Güvenliği ve Denetim İşlemleri (Ticari Kalite) Ücret Tarifesi</w:t>
      </w:r>
    </w:p>
    <w:p w:rsidR="00ED5FBB" w:rsidRPr="00A84518" w:rsidRDefault="00ED5FBB" w:rsidP="00ED5FBB">
      <w:pPr>
        <w:shd w:val="clear" w:color="auto" w:fill="FFFFFF"/>
        <w:spacing w:after="240" w:line="240" w:lineRule="auto"/>
        <w:jc w:val="both"/>
        <w:rPr>
          <w:rFonts w:ascii="Trebuchet MS" w:eastAsia="Times New Roman" w:hAnsi="Trebuchet MS" w:cs="Times New Roman"/>
          <w:color w:val="212529"/>
          <w:sz w:val="24"/>
          <w:szCs w:val="24"/>
          <w:lang w:eastAsia="tr-TR"/>
        </w:rPr>
      </w:pPr>
      <w:r w:rsidRPr="00A84518">
        <w:rPr>
          <w:rFonts w:ascii="Trebuchet MS" w:eastAsia="Times New Roman" w:hAnsi="Trebuchet MS" w:cs="Times New Roman"/>
          <w:color w:val="212529"/>
          <w:sz w:val="24"/>
          <w:szCs w:val="24"/>
          <w:lang w:eastAsia="tr-TR"/>
        </w:rPr>
        <w:t>İhracatta ve ithalatta ürün güvenliği ve ticari kalite denetimlerine ilişkin işlemler ve uluslararası gözetim şirketlerine ilişkin uygulan</w:t>
      </w:r>
      <w:r>
        <w:rPr>
          <w:rFonts w:ascii="Trebuchet MS" w:eastAsia="Times New Roman" w:hAnsi="Trebuchet MS" w:cs="Times New Roman"/>
          <w:color w:val="212529"/>
          <w:sz w:val="24"/>
          <w:szCs w:val="24"/>
          <w:lang w:eastAsia="tr-TR"/>
        </w:rPr>
        <w:t>acak yeni ücret tarifesi aşağıdaki linktedir.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26" w:history="1">
        <w:r w:rsidRPr="006540F3">
          <w:rPr>
            <w:rStyle w:val="Kpr"/>
            <w:rFonts w:ascii="Calibri" w:eastAsia="Times New Roman" w:hAnsi="Calibri" w:cs="Calibri"/>
            <w:lang w:eastAsia="tr-TR"/>
          </w:rPr>
          <w:t>https://www.lojiblog.com/services/viewer.php?data=37487</w:t>
        </w:r>
      </w:hyperlink>
    </w:p>
    <w:p w:rsidR="00ED5FBB" w:rsidRPr="00A84518" w:rsidRDefault="00ED5FBB" w:rsidP="00ED5FBB">
      <w:pPr>
        <w:shd w:val="clear" w:color="auto" w:fill="FFFFFF"/>
        <w:spacing w:line="240" w:lineRule="auto"/>
        <w:rPr>
          <w:b/>
          <w:sz w:val="28"/>
          <w:szCs w:val="28"/>
        </w:rPr>
      </w:pPr>
      <w:r>
        <w:rPr>
          <w:b/>
          <w:sz w:val="28"/>
          <w:szCs w:val="28"/>
        </w:rPr>
        <w:t>25</w:t>
      </w:r>
      <w:r>
        <w:rPr>
          <w:b/>
          <w:sz w:val="28"/>
          <w:szCs w:val="28"/>
        </w:rPr>
        <w:t>----</w:t>
      </w:r>
      <w:r w:rsidRPr="00A84518">
        <w:rPr>
          <w:b/>
          <w:sz w:val="28"/>
          <w:szCs w:val="28"/>
        </w:rPr>
        <w:t>Akrilik Elyaf İthalatına Damping Soruşturması</w:t>
      </w:r>
    </w:p>
    <w:p w:rsidR="00ED5FBB" w:rsidRPr="00A8451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A84518">
        <w:rPr>
          <w:rFonts w:ascii="Trebuchet MS" w:eastAsia="Times New Roman" w:hAnsi="Trebuchet MS" w:cs="Times New Roman"/>
          <w:color w:val="212529"/>
          <w:sz w:val="24"/>
          <w:szCs w:val="24"/>
          <w:lang w:eastAsia="tr-TR"/>
        </w:rPr>
        <w:t>Çin menşeli 5501.30.00.00.00 GTİP de yer alan “akrilik veya modakrilik olanlar” eşya tanımlı “akrilik elyaf” ithalatına yönelik bir damping soruşturması açılması ve açılan soruşturmanın usul ve esaslarının be</w:t>
      </w:r>
      <w:r>
        <w:rPr>
          <w:rFonts w:ascii="Trebuchet MS" w:eastAsia="Times New Roman" w:hAnsi="Trebuchet MS" w:cs="Times New Roman"/>
          <w:color w:val="212529"/>
          <w:sz w:val="24"/>
          <w:szCs w:val="24"/>
          <w:lang w:eastAsia="tr-TR"/>
        </w:rPr>
        <w:t>lirlenmesi konulu tebliğ aşağıdaki linktedir.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27" w:history="1">
        <w:r w:rsidRPr="00F518F9">
          <w:rPr>
            <w:rStyle w:val="Kpr"/>
            <w:rFonts w:ascii="Calibri" w:eastAsia="Times New Roman" w:hAnsi="Calibri" w:cs="Calibri"/>
            <w:lang w:eastAsia="tr-TR"/>
          </w:rPr>
          <w:t>https://www.lojiblog.com/services/viewer.php?data=37678</w:t>
        </w:r>
      </w:hyperlink>
    </w:p>
    <w:p w:rsidR="00ED5FBB" w:rsidRPr="00A84518" w:rsidRDefault="00ED5FBB" w:rsidP="00ED5FBB">
      <w:pPr>
        <w:shd w:val="clear" w:color="auto" w:fill="FFFFFF"/>
        <w:spacing w:line="240" w:lineRule="auto"/>
        <w:rPr>
          <w:b/>
          <w:sz w:val="28"/>
          <w:szCs w:val="28"/>
        </w:rPr>
      </w:pPr>
      <w:r>
        <w:rPr>
          <w:b/>
          <w:sz w:val="28"/>
          <w:szCs w:val="28"/>
        </w:rPr>
        <w:t>26</w:t>
      </w:r>
      <w:r>
        <w:rPr>
          <w:b/>
          <w:sz w:val="28"/>
          <w:szCs w:val="28"/>
        </w:rPr>
        <w:t>----</w:t>
      </w:r>
      <w:r w:rsidRPr="00A84518">
        <w:rPr>
          <w:b/>
          <w:sz w:val="28"/>
          <w:szCs w:val="28"/>
        </w:rPr>
        <w:t>Yassı Çelik Ve Boyalı Yassı Çelik Ürün İthalatına Damping Soruşturması</w:t>
      </w:r>
    </w:p>
    <w:p w:rsidR="00ED5FBB" w:rsidRPr="00A8451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A84518">
        <w:rPr>
          <w:rFonts w:ascii="Trebuchet MS" w:eastAsia="Times New Roman" w:hAnsi="Trebuchet MS" w:cs="Times New Roman"/>
          <w:color w:val="212529"/>
          <w:sz w:val="24"/>
          <w:szCs w:val="24"/>
          <w:lang w:eastAsia="tr-TR"/>
        </w:rPr>
        <w:t>Çin ve Güney Kore menşeli</w:t>
      </w:r>
      <w:r>
        <w:rPr>
          <w:rFonts w:ascii="Trebuchet MS" w:eastAsia="Times New Roman" w:hAnsi="Trebuchet MS" w:cs="Times New Roman"/>
          <w:color w:val="212529"/>
          <w:sz w:val="24"/>
          <w:szCs w:val="24"/>
          <w:lang w:eastAsia="tr-TR"/>
        </w:rPr>
        <w:t>;</w:t>
      </w:r>
    </w:p>
    <w:p w:rsidR="00ED5FBB" w:rsidRPr="00A8451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A84518">
        <w:rPr>
          <w:rFonts w:ascii="Trebuchet MS" w:eastAsia="Times New Roman" w:hAnsi="Trebuchet MS" w:cs="Times New Roman"/>
          <w:color w:val="212529"/>
          <w:sz w:val="24"/>
          <w:szCs w:val="24"/>
          <w:lang w:eastAsia="tr-TR"/>
        </w:rPr>
        <w:t>7209.15.00.10.00, 7209.15.00.90.00, 7209.16.90.10.00, 7209.16.90.90.00, 7209.17.90.10.00, 7209.17.90.90.00, 7209.18.91.10.00, 7209.18.91.90.00, 7209.18.99.10.00, 7209.18.99.90.00, 7209.25.00.10.00, 7209.25.00.90.00, 7209.26.90.10.00, 7209.26.90.90.00, 7209.27.90.10.00, 7209.27.90.90.00, 7209.28.90.10.00, 7209.28.90.90.00, 7209.90.20.11.00, 7209.90.20.19.00, 7209.90.80.21.11, 7209.90.80.21.19, 7209.90.80.29.11, 7209.90.80.29.19, 7210.41.00.10.11, 7210.41.00.10.19, 7210.41.00.90.11, 7210.41.00.90.19, 7210.49.00.10.11, 7210.49.00.10.19, 7210.49.00.90.11, 7210.49.00.90.19, 7210.70.80.10.11, 7210.70.80.10.19, 7210.70.80.90.11, 7210.70.80.90.19, 7210.90.80.10.11, 7210.90.80.10.19, 7210.90.80.90.11, 7210.90.80.90.19, 7211.23.30.00.11, 7211.23.30.00.12, 7211.23.30.00.19, 7211.23.80.10.11, 7211.23.80.10.19, 7211.23.80.90.11, 7211.23.80.90.13, 7211.23.80.90.19, 7211.29.00.10.11, 7211.29.00.10.12, 7211.29.00.21.00, 7211.29.00.29.00, 7211.29.00.31.00, 7211.29.00.39.00, 7211.90.20.11.00, 7211.90.20.19.00, 7211.90.20.21.11, 7211.90.20.21.19, 7211.90.20.29.11, 7211.90.20.29.19, 7211.90.80.11.00, 7211.90.80.19.00, 7211.90.80.21.12, 7211.90.80.21.13, 7211.90.80.21.19, 7211.90.80.29.12, 7211.90.80.29.13, 7211.90.80.29.19, 7212.30.00.11.11, 7212.30.00.11.12, 7212.30.00.19.11, 7212.30.00.19.12, 7212.30.00.21.11, 7212.30.00.21.12, 7212.30.00.29.11, 7212.30.00.29.12, 7212.40.80.10.11, 7212.40.80.10.19, 7212.40.80.10.21, 7212.40.80.90.11, 7212.40.80.90.19, 7212.40.80.90.21, 7212.50.90.90.18, 7212.50.90.90.20, 7225.50.80.00.11, 7225.50.80.00.12, 7225.92.00.00.10, 7225.92.00.00.90, 7225.99.00.00.10, 7225.99.00.00.90, 7226.92.00.00.11, 7226.92.00.00.12, 7226.99.30.00.11, 7226.99.30.00.19, 7226.99.70.00.11, 7226.99.70.00.19</w:t>
      </w:r>
    </w:p>
    <w:p w:rsidR="00ED5FBB" w:rsidRPr="00A8451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A84518">
        <w:rPr>
          <w:rFonts w:ascii="Trebuchet MS" w:eastAsia="Times New Roman" w:hAnsi="Trebuchet MS" w:cs="Times New Roman"/>
          <w:color w:val="212529"/>
          <w:sz w:val="24"/>
          <w:szCs w:val="24"/>
          <w:lang w:eastAsia="tr-TR"/>
        </w:rPr>
        <w:t>GTİP lerde yer alan “soğuk haddelenmiş yassı çelik (tavlanmamış olanlar hariç), galvaniz kaplanmış yassı çelik ve boyalı yassı çelik” ürününe yönelik bir</w:t>
      </w:r>
      <w:r>
        <w:rPr>
          <w:rFonts w:ascii="Trebuchet MS" w:eastAsia="Times New Roman" w:hAnsi="Trebuchet MS" w:cs="Times New Roman"/>
          <w:color w:val="212529"/>
          <w:sz w:val="24"/>
          <w:szCs w:val="24"/>
          <w:lang w:eastAsia="tr-TR"/>
        </w:rPr>
        <w:t xml:space="preserve"> </w:t>
      </w:r>
      <w:proofErr w:type="gramStart"/>
      <w:r w:rsidRPr="00A84518">
        <w:rPr>
          <w:rFonts w:ascii="Trebuchet MS" w:eastAsia="Times New Roman" w:hAnsi="Trebuchet MS" w:cs="Times New Roman"/>
          <w:color w:val="212529"/>
          <w:sz w:val="24"/>
          <w:szCs w:val="24"/>
          <w:lang w:eastAsia="tr-TR"/>
        </w:rPr>
        <w:t>damping</w:t>
      </w:r>
      <w:proofErr w:type="gramEnd"/>
      <w:r>
        <w:rPr>
          <w:rFonts w:ascii="Trebuchet MS" w:eastAsia="Times New Roman" w:hAnsi="Trebuchet MS" w:cs="Times New Roman"/>
          <w:color w:val="212529"/>
          <w:sz w:val="24"/>
          <w:szCs w:val="24"/>
          <w:lang w:eastAsia="tr-TR"/>
        </w:rPr>
        <w:t xml:space="preserve"> </w:t>
      </w:r>
      <w:r w:rsidRPr="00A84518">
        <w:rPr>
          <w:rFonts w:ascii="Trebuchet MS" w:eastAsia="Times New Roman" w:hAnsi="Trebuchet MS" w:cs="Times New Roman"/>
          <w:color w:val="212529"/>
          <w:sz w:val="24"/>
          <w:szCs w:val="24"/>
          <w:lang w:eastAsia="tr-TR"/>
        </w:rPr>
        <w:t>soruşturması açılması ve açılan soruşturmanın usul ve esaslarının bel</w:t>
      </w:r>
      <w:r>
        <w:rPr>
          <w:rFonts w:ascii="Trebuchet MS" w:eastAsia="Times New Roman" w:hAnsi="Trebuchet MS" w:cs="Times New Roman"/>
          <w:color w:val="212529"/>
          <w:sz w:val="24"/>
          <w:szCs w:val="24"/>
          <w:lang w:eastAsia="tr-TR"/>
        </w:rPr>
        <w:t>irlenmesi konulu tebliğ aşağıdaki linktedir.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28" w:history="1">
        <w:r w:rsidRPr="00F518F9">
          <w:rPr>
            <w:rStyle w:val="Kpr"/>
            <w:rFonts w:ascii="Calibri" w:eastAsia="Times New Roman" w:hAnsi="Calibri" w:cs="Calibri"/>
            <w:lang w:eastAsia="tr-TR"/>
          </w:rPr>
          <w:t>https://www.lojiblog.com/services/viewer.php?data=37869</w:t>
        </w:r>
      </w:hyperlink>
    </w:p>
    <w:p w:rsidR="00ED5FBB" w:rsidRPr="00444528" w:rsidRDefault="00ED5FBB" w:rsidP="00ED5FBB">
      <w:pPr>
        <w:shd w:val="clear" w:color="auto" w:fill="FFFFFF"/>
        <w:spacing w:line="240" w:lineRule="auto"/>
        <w:rPr>
          <w:b/>
          <w:sz w:val="28"/>
          <w:szCs w:val="28"/>
        </w:rPr>
      </w:pPr>
      <w:r>
        <w:rPr>
          <w:b/>
          <w:sz w:val="28"/>
          <w:szCs w:val="28"/>
        </w:rPr>
        <w:t>27</w:t>
      </w:r>
      <w:r>
        <w:rPr>
          <w:b/>
          <w:sz w:val="28"/>
          <w:szCs w:val="28"/>
        </w:rPr>
        <w:t>----</w:t>
      </w:r>
      <w:r w:rsidRPr="00444528">
        <w:rPr>
          <w:b/>
          <w:sz w:val="28"/>
          <w:szCs w:val="28"/>
        </w:rPr>
        <w:t>Forkliftlerle Birlikte Getirilen Şarj Cihazlarının Beyanı</w:t>
      </w:r>
    </w:p>
    <w:p w:rsidR="00ED5FBB"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-84.27 pozisyonunda yer alan akülü forkliftlerle birlikte getirilen şarj cihazlarının ayrı bir kalem olarak 85.04 tarifesinde beyan edilip edilmemesi hususunda tereddüt oluştuğu,</w:t>
      </w:r>
    </w:p>
    <w:p w:rsidR="00ED5FBB" w:rsidRPr="00444528"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p>
    <w:p w:rsidR="00ED5FBB"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-Tarife yorum kuralları gereği, forkliftlerle birlikte gelen ve forklift üzerindeki akülerle uyumlu sayı ve teknik özellikteki şarj cihazlarının ayrı olarak sınıflandırıl</w:t>
      </w:r>
      <w:r>
        <w:rPr>
          <w:rFonts w:ascii="Trebuchet MS" w:eastAsia="Times New Roman" w:hAnsi="Trebuchet MS" w:cs="Times New Roman"/>
          <w:color w:val="212529"/>
          <w:sz w:val="24"/>
          <w:szCs w:val="24"/>
          <w:lang w:eastAsia="tr-TR"/>
        </w:rPr>
        <w:t>mamasının (menfi) uygun olacağı,</w:t>
      </w:r>
    </w:p>
    <w:p w:rsidR="00ED5FBB" w:rsidRPr="00444528"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p>
    <w:p w:rsidR="00ED5FBB" w:rsidRPr="00444528"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Konulu Gümrükler</w:t>
      </w:r>
      <w:r>
        <w:rPr>
          <w:rFonts w:ascii="Trebuchet MS" w:eastAsia="Times New Roman" w:hAnsi="Trebuchet MS" w:cs="Times New Roman"/>
          <w:color w:val="212529"/>
          <w:sz w:val="24"/>
          <w:szCs w:val="24"/>
          <w:lang w:eastAsia="tr-TR"/>
        </w:rPr>
        <w:t xml:space="preserve"> Genel Müdürlüğü yazısı aşağıdaki linktedir.</w:t>
      </w:r>
    </w:p>
    <w:p w:rsidR="00ED5FBB" w:rsidRDefault="00ED5FBB" w:rsidP="00ED5FBB">
      <w:pPr>
        <w:shd w:val="clear" w:color="auto" w:fill="FFFFFF"/>
        <w:spacing w:line="240" w:lineRule="auto"/>
        <w:rPr>
          <w:rFonts w:ascii="Calibri" w:eastAsia="Times New Roman" w:hAnsi="Calibri" w:cs="Calibri"/>
          <w:color w:val="666666"/>
          <w:lang w:eastAsia="tr-TR"/>
        </w:rPr>
      </w:pPr>
    </w:p>
    <w:p w:rsidR="00ED5FBB" w:rsidRDefault="00ED5FBB" w:rsidP="00ED5FBB">
      <w:pPr>
        <w:shd w:val="clear" w:color="auto" w:fill="FFFFFF"/>
        <w:spacing w:line="240" w:lineRule="auto"/>
        <w:rPr>
          <w:rFonts w:ascii="Calibri" w:eastAsia="Times New Roman" w:hAnsi="Calibri" w:cs="Calibri"/>
          <w:color w:val="666666"/>
          <w:lang w:eastAsia="tr-TR"/>
        </w:rPr>
      </w:pPr>
      <w:hyperlink r:id="rId29" w:history="1">
        <w:r w:rsidRPr="00F518F9">
          <w:rPr>
            <w:rStyle w:val="Kpr"/>
            <w:rFonts w:ascii="Calibri" w:eastAsia="Times New Roman" w:hAnsi="Calibri" w:cs="Calibri"/>
            <w:lang w:eastAsia="tr-TR"/>
          </w:rPr>
          <w:t>https://www.lojiblog.com/services/viewer.php?data=38633</w:t>
        </w:r>
      </w:hyperlink>
    </w:p>
    <w:p w:rsidR="00ED5FBB" w:rsidRPr="00444528" w:rsidRDefault="00ED5FBB" w:rsidP="00ED5FBB">
      <w:pPr>
        <w:shd w:val="clear" w:color="auto" w:fill="FFFFFF"/>
        <w:spacing w:line="240" w:lineRule="auto"/>
        <w:rPr>
          <w:b/>
          <w:sz w:val="28"/>
          <w:szCs w:val="28"/>
        </w:rPr>
      </w:pPr>
      <w:r>
        <w:rPr>
          <w:b/>
          <w:sz w:val="28"/>
          <w:szCs w:val="28"/>
        </w:rPr>
        <w:t>28</w:t>
      </w:r>
      <w:r>
        <w:rPr>
          <w:b/>
          <w:sz w:val="28"/>
          <w:szCs w:val="28"/>
        </w:rPr>
        <w:t>----</w:t>
      </w:r>
      <w:r w:rsidRPr="00444528">
        <w:rPr>
          <w:b/>
          <w:sz w:val="28"/>
          <w:szCs w:val="28"/>
        </w:rPr>
        <w:t>Bazı Plastik Eşyaların İthalatında Gözetim Fiyat Değişikliği</w:t>
      </w:r>
    </w:p>
    <w:p w:rsidR="00ED5FBB"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3926.90.97.90.18 GTİP de yer alan plastikten diğer eşyaların ithalatında 3$ Kg olarak uygulanan gözetim kıymeti 5.5$ Kg a yükseltilmiştir.</w:t>
      </w:r>
    </w:p>
    <w:p w:rsidR="00ED5FBB" w:rsidRPr="00444528"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p>
    <w:p w:rsidR="00ED5FBB"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Uygulama 26.12.2024 tarihini takip eden 30. Gün başlayacaktır.</w:t>
      </w:r>
    </w:p>
    <w:p w:rsidR="00ED5FBB" w:rsidRPr="00444528" w:rsidRDefault="00ED5FBB" w:rsidP="00ED5FBB">
      <w:pPr>
        <w:shd w:val="clear" w:color="auto" w:fill="FFFFFF"/>
        <w:spacing w:after="0" w:line="240" w:lineRule="auto"/>
        <w:rPr>
          <w:rFonts w:ascii="Trebuchet MS" w:eastAsia="Times New Roman" w:hAnsi="Trebuchet MS" w:cs="Times New Roman"/>
          <w:color w:val="212529"/>
          <w:sz w:val="24"/>
          <w:szCs w:val="24"/>
          <w:lang w:eastAsia="tr-TR"/>
        </w:rPr>
      </w:pPr>
    </w:p>
    <w:p w:rsidR="00ED5FBB" w:rsidRDefault="00ED5FBB" w:rsidP="00ED5FBB">
      <w:pPr>
        <w:shd w:val="clear" w:color="auto" w:fill="FFFFFF"/>
        <w:spacing w:line="240" w:lineRule="auto"/>
        <w:rPr>
          <w:rFonts w:ascii="Calibri" w:eastAsia="Times New Roman" w:hAnsi="Calibri" w:cs="Calibri"/>
          <w:color w:val="666666"/>
          <w:lang w:eastAsia="tr-TR"/>
        </w:rPr>
      </w:pPr>
      <w:hyperlink r:id="rId30" w:history="1">
        <w:r w:rsidRPr="00F518F9">
          <w:rPr>
            <w:rStyle w:val="Kpr"/>
            <w:rFonts w:ascii="Calibri" w:eastAsia="Times New Roman" w:hAnsi="Calibri" w:cs="Calibri"/>
            <w:lang w:eastAsia="tr-TR"/>
          </w:rPr>
          <w:t>https://www.lojiblog.com/services/viewer.php?data=38824</w:t>
        </w:r>
      </w:hyperlink>
    </w:p>
    <w:p w:rsidR="00ED5FBB" w:rsidRPr="00444528" w:rsidRDefault="00ED5FBB" w:rsidP="00ED5FBB">
      <w:pPr>
        <w:shd w:val="clear" w:color="auto" w:fill="FFFFFF"/>
        <w:spacing w:line="240" w:lineRule="auto"/>
        <w:rPr>
          <w:b/>
          <w:sz w:val="28"/>
          <w:szCs w:val="28"/>
        </w:rPr>
      </w:pPr>
      <w:r>
        <w:rPr>
          <w:b/>
          <w:sz w:val="28"/>
          <w:szCs w:val="28"/>
        </w:rPr>
        <w:t>29</w:t>
      </w:r>
      <w:r>
        <w:rPr>
          <w:b/>
          <w:sz w:val="28"/>
          <w:szCs w:val="28"/>
        </w:rPr>
        <w:t>----</w:t>
      </w:r>
      <w:r w:rsidRPr="00444528">
        <w:rPr>
          <w:b/>
          <w:sz w:val="28"/>
          <w:szCs w:val="28"/>
        </w:rPr>
        <w:t>Uluslararası Anlaşmalar ve Avrupa Birliği Genel Müdürlüğünün Menşe Kontrol Tablosu Konulu Yazıları</w:t>
      </w:r>
    </w:p>
    <w:p w:rsidR="00ED5FBB" w:rsidRPr="0044452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A84518">
        <w:rPr>
          <w:rFonts w:ascii="Calibri" w:eastAsia="Times New Roman" w:hAnsi="Calibri" w:cs="Calibri"/>
          <w:color w:val="666666"/>
          <w:lang w:eastAsia="tr-TR"/>
        </w:rPr>
        <w:t>Ank</w:t>
      </w:r>
      <w:r w:rsidRPr="00444528">
        <w:rPr>
          <w:rFonts w:ascii="Trebuchet MS" w:eastAsia="Times New Roman" w:hAnsi="Trebuchet MS" w:cs="Times New Roman"/>
          <w:color w:val="212529"/>
          <w:sz w:val="24"/>
          <w:szCs w:val="24"/>
          <w:lang w:eastAsia="tr-TR"/>
        </w:rPr>
        <w:t>ara Gümrük Müşavirleri Derneğinin, Menşe Kontrol Tablosunda bazı düzenlemeler yapılması gerektiği konulu olarak yazdığı yazıya, Uluslararası Anlaşmalar ve Avrupa Birliği Genel Müd</w:t>
      </w:r>
      <w:r>
        <w:rPr>
          <w:rFonts w:ascii="Trebuchet MS" w:eastAsia="Times New Roman" w:hAnsi="Trebuchet MS" w:cs="Times New Roman"/>
          <w:color w:val="212529"/>
          <w:sz w:val="24"/>
          <w:szCs w:val="24"/>
          <w:lang w:eastAsia="tr-TR"/>
        </w:rPr>
        <w:t>ürlüğünce verilen cevap aşağıdaki linktedir.</w:t>
      </w:r>
    </w:p>
    <w:p w:rsidR="00ED5FBB" w:rsidRPr="0044452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Yazıda, menşe kontrol tablosunun rehber bir belge olarak BİLGE Sistemine tanıtıldığı ve menşe kontrol tablosunun mevcut içeriğinin, yükümlülerin hatalı işlem yapmalarına yol açacak bir mahiyette olmadığı; bununla birlikte gümrük idarelerine ve ekonomik operatörlere tercihli menşe</w:t>
      </w:r>
      <w:r>
        <w:rPr>
          <w:rFonts w:ascii="Trebuchet MS" w:eastAsia="Times New Roman" w:hAnsi="Trebuchet MS" w:cs="Times New Roman"/>
          <w:color w:val="212529"/>
          <w:sz w:val="24"/>
          <w:szCs w:val="24"/>
          <w:lang w:eastAsia="tr-TR"/>
        </w:rPr>
        <w:t>i</w:t>
      </w:r>
      <w:r w:rsidRPr="00444528">
        <w:rPr>
          <w:rFonts w:ascii="Trebuchet MS" w:eastAsia="Times New Roman" w:hAnsi="Trebuchet MS" w:cs="Times New Roman"/>
          <w:color w:val="212529"/>
          <w:sz w:val="24"/>
          <w:szCs w:val="24"/>
          <w:lang w:eastAsia="tr-TR"/>
        </w:rPr>
        <w:t>nin tevsiki kapsamında yol gösterici bir belge olduğu belirtilmiştir.</w:t>
      </w:r>
    </w:p>
    <w:p w:rsidR="00ED5FBB" w:rsidRDefault="00ED5FBB" w:rsidP="00ED5FBB">
      <w:pPr>
        <w:shd w:val="clear" w:color="auto" w:fill="FFFFFF"/>
        <w:spacing w:line="240" w:lineRule="auto"/>
        <w:rPr>
          <w:rStyle w:val="Kpr"/>
          <w:rFonts w:ascii="Calibri" w:eastAsia="Times New Roman" w:hAnsi="Calibri" w:cs="Calibri"/>
          <w:lang w:eastAsia="tr-TR"/>
        </w:rPr>
      </w:pPr>
      <w:hyperlink r:id="rId31" w:history="1">
        <w:r w:rsidRPr="00F518F9">
          <w:rPr>
            <w:rStyle w:val="Kpr"/>
            <w:rFonts w:ascii="Calibri" w:eastAsia="Times New Roman" w:hAnsi="Calibri" w:cs="Calibri"/>
            <w:lang w:eastAsia="tr-TR"/>
          </w:rPr>
          <w:t>https://www.lojiblog.com/services/viewer.php?data=39015</w:t>
        </w:r>
      </w:hyperlink>
    </w:p>
    <w:p w:rsidR="00ED5FBB" w:rsidRPr="00444528" w:rsidRDefault="00ED5FBB" w:rsidP="00ED5FBB">
      <w:pPr>
        <w:shd w:val="clear" w:color="auto" w:fill="FFFFFF"/>
        <w:spacing w:line="240" w:lineRule="auto"/>
        <w:rPr>
          <w:b/>
          <w:sz w:val="28"/>
          <w:szCs w:val="28"/>
        </w:rPr>
      </w:pPr>
      <w:r>
        <w:rPr>
          <w:b/>
          <w:sz w:val="28"/>
          <w:szCs w:val="28"/>
        </w:rPr>
        <w:t>30</w:t>
      </w:r>
      <w:r>
        <w:rPr>
          <w:b/>
          <w:sz w:val="28"/>
          <w:szCs w:val="28"/>
        </w:rPr>
        <w:t>----</w:t>
      </w:r>
      <w:r w:rsidRPr="00444528">
        <w:rPr>
          <w:b/>
          <w:sz w:val="28"/>
          <w:szCs w:val="28"/>
        </w:rPr>
        <w:t>Türkiye-Malezya STA Sonradan Menşe Beyanı Düzenlenmesi</w:t>
      </w:r>
    </w:p>
    <w:p w:rsidR="00ED5FBB" w:rsidRDefault="00ED5FBB" w:rsidP="00ED5FBB">
      <w:pPr>
        <w:shd w:val="clear" w:color="auto" w:fill="FFFFFF"/>
        <w:spacing w:after="0" w:line="240" w:lineRule="atLeast"/>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Türkiye - Malezya Serbest Ticaret Anlaşması Çerçevesindeki Ticarette Eşyanın Tercihli Menşeinin Tespiti Hakkında Yönetmelikte Değişiklik Yapı</w:t>
      </w:r>
      <w:r>
        <w:rPr>
          <w:rFonts w:ascii="Trebuchet MS" w:eastAsia="Times New Roman" w:hAnsi="Trebuchet MS" w:cs="Times New Roman"/>
          <w:color w:val="212529"/>
          <w:sz w:val="24"/>
          <w:szCs w:val="24"/>
          <w:lang w:eastAsia="tr-TR"/>
        </w:rPr>
        <w:t>lmasına Dair Yönetmelik aşağıdaki linktedir.</w:t>
      </w:r>
    </w:p>
    <w:p w:rsidR="00ED5FBB" w:rsidRPr="00444528" w:rsidRDefault="00ED5FBB" w:rsidP="00ED5FBB">
      <w:pPr>
        <w:shd w:val="clear" w:color="auto" w:fill="FFFFFF"/>
        <w:spacing w:after="0" w:line="240" w:lineRule="atLeast"/>
        <w:rPr>
          <w:rFonts w:ascii="Trebuchet MS" w:eastAsia="Times New Roman" w:hAnsi="Trebuchet MS" w:cs="Times New Roman"/>
          <w:color w:val="212529"/>
          <w:sz w:val="24"/>
          <w:szCs w:val="24"/>
          <w:lang w:eastAsia="tr-TR"/>
        </w:rPr>
      </w:pPr>
    </w:p>
    <w:p w:rsidR="00ED5FBB" w:rsidRPr="00444528" w:rsidRDefault="00ED5FBB" w:rsidP="00ED5FBB">
      <w:pPr>
        <w:shd w:val="clear" w:color="auto" w:fill="FFFFFF"/>
        <w:spacing w:after="0" w:line="240" w:lineRule="atLeast"/>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Malezya yetkili makamlarınca,1/4/2020ve 1/4/2023 tarihleri arasındaki ihracat işlemleri için 31/10/2024 tarihinden itibaren bir yıl boyunca sonradan Malezya Menşe Belgesi düzenlenebilecektir.</w:t>
      </w:r>
    </w:p>
    <w:p w:rsidR="00ED5FBB" w:rsidRDefault="00ED5FBB" w:rsidP="00ED5FBB">
      <w:pPr>
        <w:shd w:val="clear" w:color="auto" w:fill="FFFFFF"/>
        <w:spacing w:line="240" w:lineRule="auto"/>
        <w:rPr>
          <w:rFonts w:ascii="Calibri" w:eastAsia="Times New Roman" w:hAnsi="Calibri" w:cs="Calibri"/>
          <w:color w:val="666666"/>
          <w:lang w:eastAsia="tr-TR"/>
        </w:rPr>
      </w:pPr>
    </w:p>
    <w:p w:rsidR="00ED5FBB" w:rsidRDefault="00ED5FBB" w:rsidP="00ED5FBB">
      <w:pPr>
        <w:shd w:val="clear" w:color="auto" w:fill="FFFFFF"/>
        <w:spacing w:line="240" w:lineRule="auto"/>
        <w:rPr>
          <w:rFonts w:ascii="Calibri" w:eastAsia="Times New Roman" w:hAnsi="Calibri" w:cs="Calibri"/>
          <w:color w:val="666666"/>
          <w:lang w:eastAsia="tr-TR"/>
        </w:rPr>
      </w:pPr>
      <w:hyperlink r:id="rId32" w:history="1">
        <w:r w:rsidRPr="0026791B">
          <w:rPr>
            <w:rStyle w:val="Kpr"/>
            <w:rFonts w:ascii="Calibri" w:eastAsia="Times New Roman" w:hAnsi="Calibri" w:cs="Calibri"/>
            <w:lang w:eastAsia="tr-TR"/>
          </w:rPr>
          <w:t>https://www.lojiblog.com/services/viewer.php?data=39397</w:t>
        </w:r>
      </w:hyperlink>
    </w:p>
    <w:p w:rsidR="00ED5FBB" w:rsidRPr="00444528" w:rsidRDefault="00ED5FBB" w:rsidP="00ED5FBB">
      <w:pPr>
        <w:shd w:val="clear" w:color="auto" w:fill="FFFFFF"/>
        <w:spacing w:line="240" w:lineRule="auto"/>
        <w:rPr>
          <w:b/>
          <w:sz w:val="28"/>
          <w:szCs w:val="28"/>
        </w:rPr>
      </w:pPr>
      <w:r>
        <w:rPr>
          <w:b/>
          <w:sz w:val="28"/>
          <w:szCs w:val="28"/>
        </w:rPr>
        <w:t>31</w:t>
      </w:r>
      <w:r>
        <w:rPr>
          <w:b/>
          <w:sz w:val="28"/>
          <w:szCs w:val="28"/>
        </w:rPr>
        <w:t>----</w:t>
      </w:r>
      <w:r w:rsidRPr="00444528">
        <w:rPr>
          <w:b/>
          <w:sz w:val="28"/>
          <w:szCs w:val="28"/>
        </w:rPr>
        <w:t>Sitrik Asit İthalatında Gözetim Kıymet Değişikliği</w:t>
      </w:r>
    </w:p>
    <w:p w:rsidR="00ED5FBB" w:rsidRPr="00444528" w:rsidRDefault="00ED5FBB" w:rsidP="00ED5FBB">
      <w:pPr>
        <w:shd w:val="clear" w:color="auto" w:fill="FFFFFF"/>
        <w:spacing w:after="0" w:line="240" w:lineRule="atLeast"/>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2918.14.00.00.00 GTİP de yer alan sitrik asit ithalatında 2.5$ brüt kg olarak uygulanan gözetim kıymetinin 1,5$ kg a dü</w:t>
      </w:r>
      <w:r>
        <w:rPr>
          <w:rFonts w:ascii="Trebuchet MS" w:eastAsia="Times New Roman" w:hAnsi="Trebuchet MS" w:cs="Times New Roman"/>
          <w:color w:val="212529"/>
          <w:sz w:val="24"/>
          <w:szCs w:val="24"/>
          <w:lang w:eastAsia="tr-TR"/>
        </w:rPr>
        <w:t>şürülmesi konulu tebliğ aşağıdaki linktedir.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33" w:history="1">
        <w:r w:rsidRPr="0026791B">
          <w:rPr>
            <w:rStyle w:val="Kpr"/>
            <w:rFonts w:ascii="Calibri" w:eastAsia="Times New Roman" w:hAnsi="Calibri" w:cs="Calibri"/>
            <w:lang w:eastAsia="tr-TR"/>
          </w:rPr>
          <w:t>https://www.lojiblog.com/services/viewer.php?data=39779</w:t>
        </w:r>
      </w:hyperlink>
    </w:p>
    <w:p w:rsidR="00ED5FBB" w:rsidRPr="00444528" w:rsidRDefault="00ED5FBB" w:rsidP="00ED5FBB">
      <w:pPr>
        <w:shd w:val="clear" w:color="auto" w:fill="FFFFFF"/>
        <w:spacing w:line="240" w:lineRule="auto"/>
        <w:rPr>
          <w:b/>
          <w:sz w:val="28"/>
          <w:szCs w:val="28"/>
        </w:rPr>
      </w:pPr>
      <w:r>
        <w:rPr>
          <w:b/>
          <w:sz w:val="28"/>
          <w:szCs w:val="28"/>
        </w:rPr>
        <w:t>32</w:t>
      </w:r>
      <w:r>
        <w:rPr>
          <w:b/>
          <w:sz w:val="28"/>
          <w:szCs w:val="28"/>
        </w:rPr>
        <w:t>----</w:t>
      </w:r>
      <w:r w:rsidRPr="00444528">
        <w:rPr>
          <w:b/>
          <w:sz w:val="28"/>
          <w:szCs w:val="28"/>
        </w:rPr>
        <w:t>Sitrik Asit İthalatında Dampinge Karşı Vergi Uygulaması</w:t>
      </w:r>
    </w:p>
    <w:p w:rsidR="00ED5FBB" w:rsidRPr="0044452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 xml:space="preserve">Çin menşeli 2918.14.00.00.00 GTİP de yer alan “sitrik asit” ithalatında, gönderici firma </w:t>
      </w:r>
      <w:proofErr w:type="gramStart"/>
      <w:r w:rsidRPr="00444528">
        <w:rPr>
          <w:rFonts w:ascii="Trebuchet MS" w:eastAsia="Times New Roman" w:hAnsi="Trebuchet MS" w:cs="Times New Roman"/>
          <w:color w:val="212529"/>
          <w:sz w:val="24"/>
          <w:szCs w:val="24"/>
          <w:lang w:eastAsia="tr-TR"/>
        </w:rPr>
        <w:t>bazlı</w:t>
      </w:r>
      <w:proofErr w:type="gramEnd"/>
      <w:r w:rsidRPr="00444528">
        <w:rPr>
          <w:rFonts w:ascii="Trebuchet MS" w:eastAsia="Times New Roman" w:hAnsi="Trebuchet MS" w:cs="Times New Roman"/>
          <w:color w:val="212529"/>
          <w:sz w:val="24"/>
          <w:szCs w:val="24"/>
          <w:lang w:eastAsia="tr-TR"/>
        </w:rPr>
        <w:t xml:space="preserve"> olarak %29.1 ile %63.9 arası oranlarda değişen dampinge karşı vergi uygulanması ko</w:t>
      </w:r>
      <w:r>
        <w:rPr>
          <w:rFonts w:ascii="Trebuchet MS" w:eastAsia="Times New Roman" w:hAnsi="Trebuchet MS" w:cs="Times New Roman"/>
          <w:color w:val="212529"/>
          <w:sz w:val="24"/>
          <w:szCs w:val="24"/>
          <w:lang w:eastAsia="tr-TR"/>
        </w:rPr>
        <w:t>nulu tebliğ aşağıdaki linktedir.</w:t>
      </w:r>
    </w:p>
    <w:p w:rsidR="00ED5FBB" w:rsidRPr="0044452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Tebliğ 28.12.2024 tarihi itibariyle yürürlüktedir.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34" w:history="1">
        <w:r w:rsidRPr="0026791B">
          <w:rPr>
            <w:rStyle w:val="Kpr"/>
            <w:rFonts w:ascii="Calibri" w:eastAsia="Times New Roman" w:hAnsi="Calibri" w:cs="Calibri"/>
            <w:lang w:eastAsia="tr-TR"/>
          </w:rPr>
          <w:t>https://www.lojiblog.com/services/viewer.php?data=39970</w:t>
        </w:r>
      </w:hyperlink>
    </w:p>
    <w:p w:rsidR="00ED5FBB" w:rsidRPr="00444528" w:rsidRDefault="00ED5FBB" w:rsidP="00ED5FBB">
      <w:pPr>
        <w:shd w:val="clear" w:color="auto" w:fill="FFFFFF"/>
        <w:spacing w:line="240" w:lineRule="auto"/>
        <w:rPr>
          <w:b/>
          <w:sz w:val="28"/>
          <w:szCs w:val="28"/>
        </w:rPr>
      </w:pPr>
      <w:r>
        <w:rPr>
          <w:b/>
          <w:sz w:val="28"/>
          <w:szCs w:val="28"/>
        </w:rPr>
        <w:t>33</w:t>
      </w:r>
      <w:r>
        <w:rPr>
          <w:b/>
          <w:sz w:val="28"/>
          <w:szCs w:val="28"/>
        </w:rPr>
        <w:t>----</w:t>
      </w:r>
      <w:r w:rsidRPr="00444528">
        <w:rPr>
          <w:b/>
          <w:sz w:val="28"/>
          <w:szCs w:val="28"/>
        </w:rPr>
        <w:t>Laminat Parke İthalatına Damping Soruşturması</w:t>
      </w:r>
    </w:p>
    <w:p w:rsidR="00ED5FBB" w:rsidRPr="00444528"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444528">
        <w:rPr>
          <w:rFonts w:ascii="Trebuchet MS" w:eastAsia="Times New Roman" w:hAnsi="Trebuchet MS" w:cs="Times New Roman"/>
          <w:color w:val="212529"/>
          <w:sz w:val="24"/>
          <w:szCs w:val="24"/>
          <w:lang w:eastAsia="tr-TR"/>
        </w:rPr>
        <w:t>Çin menşeli 4411.13.92.00.11,4411.13.94.00.11, 4411.14.92.00.11, 4411.14.95.00.11, 4411.14.97.00.11, 4411.92.90.00.11 ve 4411.93.00.00.11 GTİP lerde yer alan “laminat</w:t>
      </w:r>
      <w:r>
        <w:rPr>
          <w:rFonts w:ascii="Trebuchet MS" w:eastAsia="Times New Roman" w:hAnsi="Trebuchet MS" w:cs="Times New Roman"/>
          <w:color w:val="212529"/>
          <w:sz w:val="24"/>
          <w:szCs w:val="24"/>
          <w:lang w:eastAsia="tr-TR"/>
        </w:rPr>
        <w:t xml:space="preserve"> </w:t>
      </w:r>
      <w:r w:rsidRPr="00444528">
        <w:rPr>
          <w:rFonts w:ascii="Trebuchet MS" w:eastAsia="Times New Roman" w:hAnsi="Trebuchet MS" w:cs="Times New Roman"/>
          <w:color w:val="212529"/>
          <w:sz w:val="24"/>
          <w:szCs w:val="24"/>
          <w:lang w:eastAsia="tr-TR"/>
        </w:rPr>
        <w:t>parke” ithalatına yönelik yürürlükte bulunan1.60$ metre kare-2.40$ metre kare dampinge</w:t>
      </w:r>
      <w:r>
        <w:rPr>
          <w:rFonts w:ascii="Trebuchet MS" w:eastAsia="Times New Roman" w:hAnsi="Trebuchet MS" w:cs="Times New Roman"/>
          <w:color w:val="212529"/>
          <w:sz w:val="24"/>
          <w:szCs w:val="24"/>
          <w:lang w:eastAsia="tr-TR"/>
        </w:rPr>
        <w:t xml:space="preserve"> </w:t>
      </w:r>
      <w:r w:rsidRPr="00444528">
        <w:rPr>
          <w:rFonts w:ascii="Trebuchet MS" w:eastAsia="Times New Roman" w:hAnsi="Trebuchet MS" w:cs="Times New Roman"/>
          <w:color w:val="212529"/>
          <w:sz w:val="24"/>
          <w:szCs w:val="24"/>
          <w:lang w:eastAsia="tr-TR"/>
        </w:rPr>
        <w:t>karşı kesin önleme ilişkin olarak bir nihai gözden geçirme soruşturması açılması ve açılan soruşturmanın usul ve esaslarının bel</w:t>
      </w:r>
      <w:r>
        <w:rPr>
          <w:rFonts w:ascii="Trebuchet MS" w:eastAsia="Times New Roman" w:hAnsi="Trebuchet MS" w:cs="Times New Roman"/>
          <w:color w:val="212529"/>
          <w:sz w:val="24"/>
          <w:szCs w:val="24"/>
          <w:lang w:eastAsia="tr-TR"/>
        </w:rPr>
        <w:t>irlenmesi konulu tebliğ aşağıdaki linktedir.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35" w:history="1">
        <w:r w:rsidRPr="0026791B">
          <w:rPr>
            <w:rStyle w:val="Kpr"/>
            <w:rFonts w:ascii="Calibri" w:eastAsia="Times New Roman" w:hAnsi="Calibri" w:cs="Calibri"/>
            <w:lang w:eastAsia="tr-TR"/>
          </w:rPr>
          <w:t>https://www.lojiblog.com/services/viewer.php?data=40161</w:t>
        </w:r>
      </w:hyperlink>
    </w:p>
    <w:p w:rsidR="00ED5FBB" w:rsidRDefault="00ED5FBB" w:rsidP="00ED5FBB">
      <w:pPr>
        <w:shd w:val="clear" w:color="auto" w:fill="FFFFFF"/>
        <w:spacing w:line="240" w:lineRule="auto"/>
        <w:rPr>
          <w:rFonts w:ascii="Trebuchet MS" w:hAnsi="Trebuchet MS"/>
          <w:color w:val="009CDE"/>
          <w:sz w:val="36"/>
          <w:szCs w:val="36"/>
          <w:shd w:val="clear" w:color="auto" w:fill="FFFFFF"/>
        </w:rPr>
      </w:pPr>
      <w:r>
        <w:rPr>
          <w:b/>
          <w:sz w:val="28"/>
          <w:szCs w:val="28"/>
        </w:rPr>
        <w:t>34</w:t>
      </w:r>
      <w:bookmarkStart w:id="2" w:name="_GoBack"/>
      <w:bookmarkEnd w:id="2"/>
      <w:r>
        <w:rPr>
          <w:b/>
          <w:sz w:val="28"/>
          <w:szCs w:val="28"/>
        </w:rPr>
        <w:t>----</w:t>
      </w:r>
      <w:r w:rsidRPr="00E447E5">
        <w:rPr>
          <w:b/>
          <w:sz w:val="28"/>
          <w:szCs w:val="28"/>
        </w:rPr>
        <w:t>Gümrük Müşavirliği Şirketlerince İmzalanacak Sözleşmelere Süre Uzatımı</w:t>
      </w:r>
    </w:p>
    <w:p w:rsidR="00ED5FBB" w:rsidRPr="00E447E5" w:rsidRDefault="00ED5FBB" w:rsidP="00ED5FBB">
      <w:pPr>
        <w:shd w:val="clear" w:color="auto" w:fill="FFFFFF"/>
        <w:spacing w:line="240" w:lineRule="auto"/>
        <w:rPr>
          <w:rFonts w:ascii="Trebuchet MS" w:eastAsia="Times New Roman" w:hAnsi="Trebuchet MS" w:cs="Times New Roman"/>
          <w:color w:val="212529"/>
          <w:sz w:val="24"/>
          <w:szCs w:val="24"/>
          <w:lang w:eastAsia="tr-TR"/>
        </w:rPr>
      </w:pPr>
      <w:r w:rsidRPr="00E447E5">
        <w:rPr>
          <w:rFonts w:ascii="Trebuchet MS" w:eastAsia="Times New Roman" w:hAnsi="Trebuchet MS" w:cs="Times New Roman"/>
          <w:color w:val="212529"/>
          <w:sz w:val="24"/>
          <w:szCs w:val="24"/>
          <w:lang w:eastAsia="tr-TR"/>
        </w:rPr>
        <w:t>Gümrük Yönetmeliği değişikliği uyarınca Gümrük Müşavirliği Şirketlerince veri güvenliğine ilişkin imzalanacak sözleşmeler için verilen süre 30.06.2025 tarihine kadar uzatılmıştır.</w:t>
      </w:r>
    </w:p>
    <w:p w:rsidR="00ED5FBB" w:rsidRDefault="00ED5FBB" w:rsidP="00ED5FBB">
      <w:pPr>
        <w:shd w:val="clear" w:color="auto" w:fill="FFFFFF"/>
        <w:spacing w:line="240" w:lineRule="auto"/>
        <w:rPr>
          <w:rFonts w:ascii="Calibri" w:eastAsia="Times New Roman" w:hAnsi="Calibri" w:cs="Calibri"/>
          <w:color w:val="666666"/>
          <w:lang w:eastAsia="tr-TR"/>
        </w:rPr>
      </w:pPr>
      <w:hyperlink r:id="rId36" w:history="1">
        <w:r w:rsidRPr="008F3684">
          <w:rPr>
            <w:rStyle w:val="Kpr"/>
            <w:rFonts w:ascii="Calibri" w:eastAsia="Times New Roman" w:hAnsi="Calibri" w:cs="Calibri"/>
            <w:lang w:eastAsia="tr-TR"/>
          </w:rPr>
          <w:t>https://www.lojiblog.com/services/viewer.php?data=42262</w:t>
        </w:r>
      </w:hyperlink>
    </w:p>
    <w:p w:rsidR="00C82DFF" w:rsidRDefault="00C82DFF"/>
    <w:sectPr w:rsidR="00C82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58"/>
    <w:rsid w:val="00A26658"/>
    <w:rsid w:val="00C82DFF"/>
    <w:rsid w:val="00CC7553"/>
    <w:rsid w:val="00ED5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6329"/>
  <w15:chartTrackingRefBased/>
  <w15:docId w15:val="{768022C7-FCD4-4B45-99B2-0977CEE6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D5FBB"/>
    <w:rPr>
      <w:color w:val="0000FF"/>
      <w:u w:val="single"/>
    </w:rPr>
  </w:style>
  <w:style w:type="paragraph" w:styleId="NormalWeb">
    <w:name w:val="Normal (Web)"/>
    <w:basedOn w:val="Normal"/>
    <w:uiPriority w:val="99"/>
    <w:unhideWhenUsed/>
    <w:rsid w:val="00ED5F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D5F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jiblog.com/services/viewer.php?data=33285" TargetMode="External"/><Relationship Id="rId18" Type="http://schemas.openxmlformats.org/officeDocument/2006/relationships/hyperlink" Target="https://ticaret.gov.tr/haberler/turkiyenin-israil-ile-ticareti-durdurma-sureci-hakkinda-bilgi-notu" TargetMode="External"/><Relationship Id="rId26" Type="http://schemas.openxmlformats.org/officeDocument/2006/relationships/hyperlink" Target="https://www.lojiblog.com/services/viewer.php?data=37487" TargetMode="External"/><Relationship Id="rId21" Type="http://schemas.openxmlformats.org/officeDocument/2006/relationships/hyperlink" Target="https://www.resmigazete.gov.tr/eskiler/2024/12/20241218-4.htm" TargetMode="External"/><Relationship Id="rId34" Type="http://schemas.openxmlformats.org/officeDocument/2006/relationships/hyperlink" Target="https://www.lojiblog.com/services/viewer.php?data=39970" TargetMode="External"/><Relationship Id="rId7" Type="http://schemas.openxmlformats.org/officeDocument/2006/relationships/hyperlink" Target="https://ticaret.gov.tr/duyurular/ab-ithalat-kontrol-sistemine-ics2-iliskin-guncel-duyuru-metni-ve-sik-sorulan-sorular" TargetMode="External"/><Relationship Id="rId12" Type="http://schemas.openxmlformats.org/officeDocument/2006/relationships/hyperlink" Target="https://www.lojiblog.com/services/viewer.php?data=33094" TargetMode="External"/><Relationship Id="rId17" Type="http://schemas.openxmlformats.org/officeDocument/2006/relationships/hyperlink" Target="https://www.lojiblog.com/services/viewer.php?data=34813" TargetMode="External"/><Relationship Id="rId25" Type="http://schemas.openxmlformats.org/officeDocument/2006/relationships/hyperlink" Target="https://www.resmigazete.gov.tr/eskiler/2024/12/20241220-5.htm" TargetMode="External"/><Relationship Id="rId33" Type="http://schemas.openxmlformats.org/officeDocument/2006/relationships/hyperlink" Target="https://www.lojiblog.com/services/viewer.php?data=3977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ojiblog.com/services/viewer.php?data=34431" TargetMode="External"/><Relationship Id="rId20" Type="http://schemas.openxmlformats.org/officeDocument/2006/relationships/hyperlink" Target="https://www.resmigazete.gov.tr/eskiler/2024/12/20241218-3.htm" TargetMode="External"/><Relationship Id="rId29" Type="http://schemas.openxmlformats.org/officeDocument/2006/relationships/hyperlink" Target="https://www.lojiblog.com/services/viewer.php?data=38633" TargetMode="External"/><Relationship Id="rId1" Type="http://schemas.openxmlformats.org/officeDocument/2006/relationships/styles" Target="styles.xml"/><Relationship Id="rId6" Type="http://schemas.openxmlformats.org/officeDocument/2006/relationships/hyperlink" Target="https://www.lojiblog.com/services/viewer.php?data=31561" TargetMode="External"/><Relationship Id="rId11" Type="http://schemas.openxmlformats.org/officeDocument/2006/relationships/hyperlink" Target="https://www.lojiblog.com/services/viewer.php?data=32903" TargetMode="External"/><Relationship Id="rId24" Type="http://schemas.openxmlformats.org/officeDocument/2006/relationships/hyperlink" Target="https://www.resmigazete.gov.tr/eskiler/2024/12/20241220-4.htm" TargetMode="External"/><Relationship Id="rId32" Type="http://schemas.openxmlformats.org/officeDocument/2006/relationships/hyperlink" Target="https://www.lojiblog.com/services/viewer.php?data=39397" TargetMode="External"/><Relationship Id="rId37" Type="http://schemas.openxmlformats.org/officeDocument/2006/relationships/fontTable" Target="fontTable.xml"/><Relationship Id="rId5" Type="http://schemas.openxmlformats.org/officeDocument/2006/relationships/hyperlink" Target="https://www.lojiblog.com/services/viewer.php?data=31369" TargetMode="External"/><Relationship Id="rId15" Type="http://schemas.openxmlformats.org/officeDocument/2006/relationships/hyperlink" Target="https://ticaret.gov.tr/haberler/yurt-disi-lojistik-dagitim-aglari-ve-fuar-alani-yapim-destegi-prefinansman-kapsamina-aliniyor" TargetMode="External"/><Relationship Id="rId23" Type="http://schemas.openxmlformats.org/officeDocument/2006/relationships/hyperlink" Target="https://www.lojiblog.com/services/viewer.php?data=36723" TargetMode="External"/><Relationship Id="rId28" Type="http://schemas.openxmlformats.org/officeDocument/2006/relationships/hyperlink" Target="https://www.lojiblog.com/services/viewer.php?data=37869" TargetMode="External"/><Relationship Id="rId36" Type="http://schemas.openxmlformats.org/officeDocument/2006/relationships/hyperlink" Target="https://www.lojiblog.com/services/viewer.php?data=42262" TargetMode="External"/><Relationship Id="rId10" Type="http://schemas.openxmlformats.org/officeDocument/2006/relationships/hyperlink" Target="https://www.lojiblog.com/services/viewer.php?data=32712" TargetMode="External"/><Relationship Id="rId19" Type="http://schemas.openxmlformats.org/officeDocument/2006/relationships/hyperlink" Target="https://www.lojiblog.com/services/viewer.php?data=35195" TargetMode="External"/><Relationship Id="rId31" Type="http://schemas.openxmlformats.org/officeDocument/2006/relationships/hyperlink" Target="https://www.lojiblog.com/services/viewer.php?data=39015" TargetMode="External"/><Relationship Id="rId4" Type="http://schemas.openxmlformats.org/officeDocument/2006/relationships/hyperlink" Target="https://www.lojiblog.com/services/viewer.php?data=31177" TargetMode="External"/><Relationship Id="rId9" Type="http://schemas.openxmlformats.org/officeDocument/2006/relationships/hyperlink" Target="https://www.lojiblog.com/services/viewer.php?data=34049" TargetMode="External"/><Relationship Id="rId14" Type="http://schemas.openxmlformats.org/officeDocument/2006/relationships/hyperlink" Target="https://www.lojiblog.com/services/viewer.php?data=33476" TargetMode="External"/><Relationship Id="rId22" Type="http://schemas.openxmlformats.org/officeDocument/2006/relationships/hyperlink" Target="https://www.lojiblog.com/services/viewer.php?data=36341" TargetMode="External"/><Relationship Id="rId27" Type="http://schemas.openxmlformats.org/officeDocument/2006/relationships/hyperlink" Target="https://www.lojiblog.com/services/viewer.php?data=37678" TargetMode="External"/><Relationship Id="rId30" Type="http://schemas.openxmlformats.org/officeDocument/2006/relationships/hyperlink" Target="https://www.lojiblog.com/services/viewer.php?data=38824" TargetMode="External"/><Relationship Id="rId35" Type="http://schemas.openxmlformats.org/officeDocument/2006/relationships/hyperlink" Target="https://www.lojiblog.com/services/viewer.php?data=40161" TargetMode="External"/><Relationship Id="rId8" Type="http://schemas.openxmlformats.org/officeDocument/2006/relationships/hyperlink" Target="https://www.lojiblog.com/services/viewer.php?data=31945"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4416</Words>
  <Characters>25177</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2025-01-03T07:54:00Z</dcterms:created>
  <dcterms:modified xsi:type="dcterms:W3CDTF">2025-01-03T07:54:00Z</dcterms:modified>
</cp:coreProperties>
</file>