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BAE7" w14:textId="77777777" w:rsidR="007E3FD0" w:rsidRDefault="007E3FD0" w:rsidP="007E3FD0">
      <w:pPr>
        <w:spacing w:line="1" w:lineRule="exact"/>
        <w:sectPr w:rsidR="007E3FD0" w:rsidSect="007E3FD0">
          <w:pgSz w:w="11900" w:h="16840"/>
          <w:pgMar w:top="266" w:right="0" w:bottom="1702" w:left="0" w:header="0" w:footer="3" w:gutter="0"/>
          <w:cols w:space="720"/>
          <w:noEndnote/>
          <w:docGrid w:linePitch="360"/>
        </w:sectPr>
      </w:pPr>
    </w:p>
    <w:p w14:paraId="7342E2CB" w14:textId="77777777" w:rsidR="007E3FD0" w:rsidRDefault="007E3FD0" w:rsidP="007E3FD0">
      <w:pPr>
        <w:pStyle w:val="Gvdemetni0"/>
        <w:spacing w:line="233" w:lineRule="auto"/>
        <w:ind w:firstLine="0"/>
        <w:jc w:val="center"/>
      </w:pPr>
      <w:r>
        <w:rPr>
          <w:rStyle w:val="Gvdemetni"/>
          <w:b/>
          <w:bCs/>
        </w:rPr>
        <w:lastRenderedPageBreak/>
        <w:t>T.C.</w:t>
      </w:r>
    </w:p>
    <w:p w14:paraId="68036C66" w14:textId="77777777" w:rsidR="007E3FD0" w:rsidRDefault="007E3FD0" w:rsidP="007E3FD0">
      <w:pPr>
        <w:pStyle w:val="Gvdemetni0"/>
        <w:spacing w:after="300" w:line="233" w:lineRule="auto"/>
        <w:ind w:firstLine="0"/>
        <w:jc w:val="center"/>
      </w:pPr>
      <w:r>
        <w:rPr>
          <w:rStyle w:val="Gvdemetni"/>
          <w:b/>
          <w:bCs/>
        </w:rPr>
        <w:t>TİCARET BAKANLIĞI</w:t>
      </w:r>
      <w:r>
        <w:rPr>
          <w:rStyle w:val="Gvdemetni"/>
          <w:b/>
          <w:bCs/>
        </w:rPr>
        <w:br/>
        <w:t>Gümrükler Genel Müdürlüğü</w:t>
      </w:r>
    </w:p>
    <w:p w14:paraId="66627020" w14:textId="77777777" w:rsidR="007E3FD0" w:rsidRDefault="007E3FD0" w:rsidP="007E3FD0">
      <w:pPr>
        <w:pStyle w:val="Gvdemetni0"/>
        <w:ind w:firstLine="0"/>
      </w:pPr>
      <w:r>
        <w:rPr>
          <w:rStyle w:val="Gvdemetni"/>
          <w:b/>
          <w:bCs/>
        </w:rPr>
        <w:t xml:space="preserve">Sayı </w:t>
      </w:r>
      <w:r>
        <w:rPr>
          <w:rStyle w:val="Gvdemetni"/>
        </w:rPr>
        <w:t>:E-72093537-134.02-00122905100</w:t>
      </w:r>
    </w:p>
    <w:p w14:paraId="323E4287" w14:textId="020911D5" w:rsidR="007E3FD0" w:rsidRDefault="007E3FD0" w:rsidP="007E3FD0">
      <w:pPr>
        <w:pStyle w:val="Gvdemetni0"/>
        <w:ind w:firstLine="0"/>
      </w:pPr>
      <w:r>
        <w:rPr>
          <w:rStyle w:val="Gvdemetni"/>
          <w:b/>
          <w:bCs/>
        </w:rPr>
        <w:t xml:space="preserve">Konu </w:t>
      </w:r>
      <w:r>
        <w:rPr>
          <w:rStyle w:val="Gvdemetni"/>
        </w:rPr>
        <w:t>:Ambalajların Geçici İthalatında Damga Vergisi</w:t>
      </w:r>
      <w:r>
        <w:rPr>
          <w:noProof/>
        </w:rPr>
        <mc:AlternateContent>
          <mc:Choice Requires="wps">
            <w:drawing>
              <wp:anchor distT="0" distB="497840" distL="0" distR="0" simplePos="0" relativeHeight="251659264" behindDoc="0" locked="0" layoutInCell="1" allowOverlap="1" wp14:anchorId="2ADFFD82" wp14:editId="6E0D2017">
                <wp:simplePos x="0" y="0"/>
                <wp:positionH relativeFrom="page">
                  <wp:posOffset>1343025</wp:posOffset>
                </wp:positionH>
                <wp:positionV relativeFrom="paragraph">
                  <wp:posOffset>0</wp:posOffset>
                </wp:positionV>
                <wp:extent cx="778510" cy="26225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778510" cy="262255"/>
                        </a:xfrm>
                        <a:prstGeom prst="rect">
                          <a:avLst/>
                        </a:prstGeom>
                        <a:noFill/>
                      </wps:spPr>
                      <wps:txbx>
                        <w:txbxContent>
                          <w:p w14:paraId="06B983BC" w14:textId="77777777" w:rsidR="007E3FD0" w:rsidRDefault="007E3FD0" w:rsidP="007E3FD0">
                            <w:pPr>
                              <w:pStyle w:val="Gvdemetni0"/>
                              <w:ind w:firstLine="0"/>
                            </w:pPr>
                            <w:r>
                              <w:rPr>
                                <w:rStyle w:val="Gvdemetni"/>
                              </w:rPr>
                              <w:t>Muafiyeti</w:t>
                            </w:r>
                          </w:p>
                        </w:txbxContent>
                      </wps:txbx>
                      <wps:bodyPr wrap="none" lIns="0" tIns="0" rIns="0" bIns="0"/>
                    </wps:wsp>
                  </a:graphicData>
                </a:graphic>
              </wp:anchor>
            </w:drawing>
          </mc:Choice>
          <mc:Fallback>
            <w:pict>
              <v:shapetype w14:anchorId="2ADFFD82" id="_x0000_t202" coordsize="21600,21600" o:spt="202" path="m,l,21600r21600,l21600,xe">
                <v:stroke joinstyle="miter"/>
                <v:path gradientshapeok="t" o:connecttype="rect"/>
              </v:shapetype>
              <v:shape id="Shape 5" o:spid="_x0000_s1026" type="#_x0000_t202" style="position:absolute;margin-left:105.75pt;margin-top:0;width:61.3pt;height:20.65pt;z-index:251659264;visibility:visible;mso-wrap-style:none;mso-wrap-distance-left:0;mso-wrap-distance-top:0;mso-wrap-distance-right:0;mso-wrap-distance-bottom:39.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" filled="f" stroked="f">
                <v:textbox inset="0,0,0,0">
                  <w:txbxContent>
                    <w:p w14:paraId="06B983BC" w14:textId="77777777" w:rsidR="007E3FD0" w:rsidRDefault="007E3FD0" w:rsidP="007E3FD0">
                      <w:pPr>
                        <w:pStyle w:val="Gvdemetni0"/>
                        <w:ind w:firstLine="0"/>
                      </w:pPr>
                      <w:r>
                        <w:rPr>
                          <w:rStyle w:val="Gvdemetni"/>
                        </w:rPr>
                        <w:t>Muafiyeti</w:t>
                      </w:r>
                    </w:p>
                  </w:txbxContent>
                </v:textbox>
                <w10:wrap type="topAndBottom" anchorx="page"/>
              </v:shape>
            </w:pict>
          </mc:Fallback>
        </mc:AlternateContent>
      </w:r>
    </w:p>
    <w:p w14:paraId="198B0CB6" w14:textId="77777777" w:rsidR="007E3FD0" w:rsidRDefault="007E3FD0" w:rsidP="007E3FD0">
      <w:pPr>
        <w:pStyle w:val="Gvdemetni0"/>
        <w:spacing w:after="640"/>
        <w:ind w:firstLine="0"/>
        <w:jc w:val="center"/>
      </w:pPr>
      <w:r>
        <w:rPr>
          <w:rStyle w:val="Gvdemetni"/>
          <w:b/>
          <w:bCs/>
        </w:rPr>
        <w:t>10.06.2026 / 122905100</w:t>
      </w:r>
      <w:r>
        <w:rPr>
          <w:rStyle w:val="Gvdemetni"/>
          <w:b/>
          <w:bCs/>
        </w:rPr>
        <w:br/>
        <w:t>DAĞITIM YERLERİNE</w:t>
      </w:r>
    </w:p>
    <w:p w14:paraId="06736987" w14:textId="77777777" w:rsidR="007E3FD0" w:rsidRDefault="007E3FD0" w:rsidP="007E3FD0">
      <w:pPr>
        <w:pStyle w:val="Gvdemetni0"/>
        <w:ind w:firstLine="740"/>
        <w:jc w:val="both"/>
      </w:pPr>
      <w:r>
        <w:rPr>
          <w:rStyle w:val="Gvdemetni"/>
        </w:rPr>
        <w:t>Bölge Müdürlüklerinden Genel Müdürlüğümüze intikal eden yazılardan; dahilde işleme izin belgesi (DİİB) kapsamında ithal edilen hammadde ile dolu olarak geçici ithal edildikten sonra, boş olarak yeniden ihraç edilecek olan ambalaj niteliğindeki eşyanın geçici ithalatında ve DİİB kapsamında işleme faaliyetine tabi tutulduktan sonra elde edilen işlenmiş ürünün ambalajı niteliğindeki eşyanın, ihraç edilen işlenmiş ürün ile dolu olarak yeniden ihracatında, damga vergisi muafiyeti uygulanıp uygulanmayacağı ile ilgili tereddüt yaşandığı anlaşılmaktadır.</w:t>
      </w:r>
    </w:p>
    <w:p w14:paraId="14A4177E" w14:textId="77777777" w:rsidR="007E3FD0" w:rsidRDefault="007E3FD0" w:rsidP="007E3FD0">
      <w:pPr>
        <w:pStyle w:val="Gvdemetni0"/>
        <w:ind w:firstLine="740"/>
        <w:jc w:val="both"/>
      </w:pPr>
      <w:r>
        <w:rPr>
          <w:rStyle w:val="Gvdemetni"/>
        </w:rPr>
        <w:t>Hazine ve Maliye Bakanlığı Gelir İdaresi Başkanlığından alınan 14.01.2026 tarihli, 4810 sayılı yazıda, 488 Sayılı Damga Vergisi Kanunu'nun konusunu, kağıtların oluşturduğu, Kanun'un ek 2 nci maddesinin (1) numaralı fıkrasında, ihracat ve ihracata ilişkin olduğunun tevsiki kaydıyla, fıkrada sayılan işlemler nedeniyle düzenlenen kağıtların (gümrük idarelerine verilen beyannameler dâhil) damga vergisinden müstesna olacağı hükmünün yer aldığı, bununla birlikte, 488 sayılı Kanun'da, ihracatın tanımına ilişkin bir düzenlemenin olmadığı hususları birlikte değerlendirilerek, bahse konu işlemlerin "ihracat ve ihracata ilişkin olduğu" hususunun Bakanlığımız İhracat Genel Müdürlüğünce değerlendirilmesinin uygun olacağı belirtilmiştir.</w:t>
      </w:r>
    </w:p>
    <w:p w14:paraId="76260022" w14:textId="55D8ED49" w:rsidR="007E3FD0" w:rsidRDefault="007E3FD0" w:rsidP="007E3FD0">
      <w:pPr>
        <w:pStyle w:val="Gvdemetni0"/>
        <w:ind w:firstLine="740"/>
        <w:jc w:val="both"/>
      </w:pPr>
      <w:r>
        <w:rPr>
          <w:rStyle w:val="Gvdemetni"/>
        </w:rPr>
        <w:t>Konu ile ilgili olarak İhracat Genel Müdürlüğünün 02.06.2026 tarihli ve 122660569 sayılı yazısında ise, DİİB kapsamında elde edilecek işlenmiş ürünün bünyesinde kullanılmak üzere ithal edilen hammaddenin</w:t>
      </w:r>
    </w:p>
    <w:p w14:paraId="75C35483" w14:textId="77777777" w:rsidR="009A391C" w:rsidRDefault="009A391C"/>
    <w:p w14:paraId="79005750" w14:textId="5DC0BE2D" w:rsidR="007E3FD0" w:rsidRDefault="005D6375" w:rsidP="007E3FD0">
      <w:pPr>
        <w:pStyle w:val="Gvdemetni0"/>
        <w:ind w:firstLine="0"/>
        <w:jc w:val="both"/>
      </w:pPr>
      <w:r>
        <w:rPr>
          <w:rStyle w:val="Gvdemetni"/>
        </w:rPr>
        <w:t>Ambalajı</w:t>
      </w:r>
      <w:r w:rsidR="007E3FD0">
        <w:rPr>
          <w:rStyle w:val="Gvdemetni"/>
        </w:rPr>
        <w:t xml:space="preserve"> niteliğindeki eşyanın geçici ithali ile DÎÎB kapsamında elde edilen işlenmiş ürünün ambalajı niteliğindeki eşyanın ihraç edilecek bu ürün ile dolu olarak yeniden ihracının, </w:t>
      </w:r>
      <w:proofErr w:type="spellStart"/>
      <w:r w:rsidR="007E3FD0">
        <w:rPr>
          <w:rStyle w:val="Gvdemetni"/>
        </w:rPr>
        <w:t>DÎR'in</w:t>
      </w:r>
      <w:proofErr w:type="spellEnd"/>
      <w:r w:rsidR="007E3FD0">
        <w:rPr>
          <w:rStyle w:val="Gvdemetni"/>
        </w:rPr>
        <w:t xml:space="preserve"> asıl amacı olan ihracat faaliyetine hizmet etmesi nedeniyle, ihracata ilişkin işlem olarak değerlendirilebileceğinin mülahaza edildiği bildirilmiştir.</w:t>
      </w:r>
    </w:p>
    <w:p w14:paraId="1D228A2E" w14:textId="77777777" w:rsidR="007E3FD0" w:rsidRDefault="007E3FD0" w:rsidP="007E3FD0">
      <w:pPr>
        <w:pStyle w:val="Gvdemetni0"/>
        <w:ind w:firstLine="740"/>
        <w:jc w:val="both"/>
      </w:pPr>
      <w:r>
        <w:rPr>
          <w:rStyle w:val="Gvdemetni"/>
        </w:rPr>
        <w:t xml:space="preserve">Bu itibarla, </w:t>
      </w:r>
      <w:r>
        <w:rPr>
          <w:rStyle w:val="Gvdemetni"/>
          <w:b/>
          <w:bCs/>
        </w:rPr>
        <w:t>DİİB kapsamında elde edilecek işlenmiş ürünün bünyesinde kullanılmak üzere ithal edilen hammaddenin ambalajı niteliğindeki eşyanın geçici ithali ile DİİB kapsamında elde edilen işlenmiş ürünün ambalajı niteliğindeki eşyanın ihraç edilecek bu ürün ile dolu olarak yeniden ihracatında, 488 sayılı Damga Vergisi Kanunu ile İhracat ve Diğer Döviz Kazandırıcı Faaliyetlerde Damga Vergisi ve Harç İstisnası Uygulaması Hakkında Tebliğ hükümleri çerçevesinde, damga vergisi istisnası uygulanması gerekmektedir.</w:t>
      </w:r>
    </w:p>
    <w:p w14:paraId="511BD2C3" w14:textId="77777777" w:rsidR="007E3FD0" w:rsidRDefault="007E3FD0" w:rsidP="007E3FD0">
      <w:pPr>
        <w:pStyle w:val="Gvdemetni0"/>
        <w:spacing w:after="300"/>
        <w:ind w:firstLine="740"/>
        <w:jc w:val="both"/>
      </w:pPr>
      <w:r>
        <w:rPr>
          <w:rStyle w:val="Gvdemetni"/>
        </w:rPr>
        <w:t>Bilgileri ve buna göre gereğini rica ederim.</w:t>
      </w:r>
    </w:p>
    <w:p w14:paraId="33716AB1" w14:textId="77777777" w:rsidR="007E3FD0" w:rsidRDefault="007E3FD0" w:rsidP="007E3FD0">
      <w:pPr>
        <w:pStyle w:val="Gvdemetni0"/>
        <w:ind w:firstLine="0"/>
        <w:jc w:val="right"/>
      </w:pPr>
      <w:r>
        <w:rPr>
          <w:rStyle w:val="Gvdemetni"/>
        </w:rPr>
        <w:t>Burak Serkan YAŞAR</w:t>
      </w:r>
    </w:p>
    <w:p w14:paraId="2116D8B3" w14:textId="77777777" w:rsidR="007E3FD0" w:rsidRDefault="007E3FD0" w:rsidP="007E3FD0">
      <w:pPr>
        <w:pStyle w:val="Gvdemetni0"/>
        <w:ind w:firstLine="0"/>
        <w:jc w:val="right"/>
      </w:pPr>
      <w:r>
        <w:rPr>
          <w:rStyle w:val="Gvdemetni"/>
        </w:rPr>
        <w:t>Bakan a.</w:t>
      </w:r>
    </w:p>
    <w:p w14:paraId="0484210D" w14:textId="77777777" w:rsidR="007E3FD0" w:rsidRDefault="007E3FD0" w:rsidP="007E3FD0">
      <w:pPr>
        <w:pStyle w:val="Gvdemetni0"/>
        <w:spacing w:after="640"/>
        <w:ind w:firstLine="0"/>
        <w:jc w:val="right"/>
      </w:pPr>
      <w:r>
        <w:rPr>
          <w:rStyle w:val="Gvdemetni"/>
        </w:rPr>
        <w:t>Genel Müdür V.</w:t>
      </w:r>
    </w:p>
    <w:p w14:paraId="5BF490EA" w14:textId="77777777" w:rsidR="007E3FD0" w:rsidRDefault="007E3FD0" w:rsidP="007E3FD0">
      <w:pPr>
        <w:pStyle w:val="Gvdemetni0"/>
        <w:ind w:firstLine="0"/>
      </w:pPr>
      <w:r>
        <w:rPr>
          <w:rStyle w:val="Gvdemetni"/>
        </w:rPr>
        <w:t>Dağıtım:</w:t>
      </w:r>
    </w:p>
    <w:p w14:paraId="50684CC1" w14:textId="77777777" w:rsidR="007E3FD0" w:rsidRDefault="007E3FD0" w:rsidP="007E3FD0">
      <w:pPr>
        <w:pStyle w:val="Gvdemetni0"/>
        <w:spacing w:after="540"/>
        <w:ind w:firstLine="0"/>
      </w:pPr>
      <w:r>
        <w:rPr>
          <w:rStyle w:val="Gvdemetni"/>
        </w:rPr>
        <w:t>Tüm Gümrük ve Dış Ticaret Bölge Müdürlükleri SE</w:t>
      </w:r>
    </w:p>
    <w:p w14:paraId="19A20E03" w14:textId="77777777" w:rsidR="007E3FD0" w:rsidRDefault="007E3FD0"/>
    <w:sectPr w:rsidR="007E3F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3E"/>
    <w:rsid w:val="00321E8D"/>
    <w:rsid w:val="003C7815"/>
    <w:rsid w:val="005D6375"/>
    <w:rsid w:val="007E3FD0"/>
    <w:rsid w:val="008D233E"/>
    <w:rsid w:val="009A391C"/>
    <w:rsid w:val="00B768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DE2B"/>
  <w15:chartTrackingRefBased/>
  <w15:docId w15:val="{EE9A0E9D-BF4D-4C3B-B8A0-92AD675F3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FD0"/>
    <w:pPr>
      <w:widowControl w:val="0"/>
      <w:spacing w:after="0" w:line="240" w:lineRule="auto"/>
    </w:pPr>
    <w:rPr>
      <w:rFonts w:ascii="Courier New" w:eastAsia="Courier New" w:hAnsi="Courier New" w:cs="Courier New"/>
      <w:color w:val="000000"/>
      <w:kern w:val="0"/>
      <w:sz w:val="24"/>
      <w:szCs w:val="24"/>
      <w:lang w:eastAsia="tr-TR"/>
      <w14:ligatures w14:val="none"/>
    </w:rPr>
  </w:style>
  <w:style w:type="paragraph" w:styleId="Balk1">
    <w:name w:val="heading 1"/>
    <w:basedOn w:val="Normal"/>
    <w:next w:val="Normal"/>
    <w:link w:val="Balk1Char"/>
    <w:uiPriority w:val="9"/>
    <w:qFormat/>
    <w:rsid w:val="008D233E"/>
    <w:pPr>
      <w:keepNext/>
      <w:keepLines/>
      <w:widowControl/>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8D233E"/>
    <w:pPr>
      <w:keepNext/>
      <w:keepLines/>
      <w:widowControl/>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8D233E"/>
    <w:pPr>
      <w:keepNext/>
      <w:keepLines/>
      <w:widowControl/>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8D233E"/>
    <w:pPr>
      <w:keepNext/>
      <w:keepLines/>
      <w:widowControl/>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Balk5">
    <w:name w:val="heading 5"/>
    <w:basedOn w:val="Normal"/>
    <w:next w:val="Normal"/>
    <w:link w:val="Balk5Char"/>
    <w:uiPriority w:val="9"/>
    <w:semiHidden/>
    <w:unhideWhenUsed/>
    <w:qFormat/>
    <w:rsid w:val="008D233E"/>
    <w:pPr>
      <w:keepNext/>
      <w:keepLines/>
      <w:widowControl/>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Balk6">
    <w:name w:val="heading 6"/>
    <w:basedOn w:val="Normal"/>
    <w:next w:val="Normal"/>
    <w:link w:val="Balk6Char"/>
    <w:uiPriority w:val="9"/>
    <w:semiHidden/>
    <w:unhideWhenUsed/>
    <w:qFormat/>
    <w:rsid w:val="008D233E"/>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Balk7">
    <w:name w:val="heading 7"/>
    <w:basedOn w:val="Normal"/>
    <w:next w:val="Normal"/>
    <w:link w:val="Balk7Char"/>
    <w:uiPriority w:val="9"/>
    <w:semiHidden/>
    <w:unhideWhenUsed/>
    <w:qFormat/>
    <w:rsid w:val="008D233E"/>
    <w:pPr>
      <w:keepNext/>
      <w:keepLines/>
      <w:widowControl/>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Balk8">
    <w:name w:val="heading 8"/>
    <w:basedOn w:val="Normal"/>
    <w:next w:val="Normal"/>
    <w:link w:val="Balk8Char"/>
    <w:uiPriority w:val="9"/>
    <w:semiHidden/>
    <w:unhideWhenUsed/>
    <w:qFormat/>
    <w:rsid w:val="008D233E"/>
    <w:pPr>
      <w:keepNext/>
      <w:keepLines/>
      <w:widowControl/>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Balk9">
    <w:name w:val="heading 9"/>
    <w:basedOn w:val="Normal"/>
    <w:next w:val="Normal"/>
    <w:link w:val="Balk9Char"/>
    <w:uiPriority w:val="9"/>
    <w:semiHidden/>
    <w:unhideWhenUsed/>
    <w:qFormat/>
    <w:rsid w:val="008D233E"/>
    <w:pPr>
      <w:keepNext/>
      <w:keepLines/>
      <w:widowControl/>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D233E"/>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8D233E"/>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8D233E"/>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8D233E"/>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8D233E"/>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8D233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D233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D233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D233E"/>
    <w:rPr>
      <w:rFonts w:eastAsiaTheme="majorEastAsia" w:cstheme="majorBidi"/>
      <w:color w:val="272727" w:themeColor="text1" w:themeTint="D8"/>
    </w:rPr>
  </w:style>
  <w:style w:type="paragraph" w:styleId="KonuBal">
    <w:name w:val="Title"/>
    <w:basedOn w:val="Normal"/>
    <w:next w:val="Normal"/>
    <w:link w:val="KonuBalChar"/>
    <w:uiPriority w:val="10"/>
    <w:qFormat/>
    <w:rsid w:val="008D233E"/>
    <w:pPr>
      <w:widowControl/>
      <w:spacing w:after="80"/>
      <w:contextualSpacing/>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8D233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D233E"/>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8D233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D233E"/>
    <w:pPr>
      <w:widowControl/>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AlntChar">
    <w:name w:val="Alıntı Char"/>
    <w:basedOn w:val="VarsaylanParagrafYazTipi"/>
    <w:link w:val="Alnt"/>
    <w:uiPriority w:val="29"/>
    <w:rsid w:val="008D233E"/>
    <w:rPr>
      <w:i/>
      <w:iCs/>
      <w:color w:val="404040" w:themeColor="text1" w:themeTint="BF"/>
    </w:rPr>
  </w:style>
  <w:style w:type="paragraph" w:styleId="ListeParagraf">
    <w:name w:val="List Paragraph"/>
    <w:basedOn w:val="Normal"/>
    <w:uiPriority w:val="34"/>
    <w:qFormat/>
    <w:rsid w:val="008D233E"/>
    <w:pPr>
      <w:widowControl/>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rPr>
  </w:style>
  <w:style w:type="character" w:styleId="GlVurgulama">
    <w:name w:val="Intense Emphasis"/>
    <w:basedOn w:val="VarsaylanParagrafYazTipi"/>
    <w:uiPriority w:val="21"/>
    <w:qFormat/>
    <w:rsid w:val="008D233E"/>
    <w:rPr>
      <w:i/>
      <w:iCs/>
      <w:color w:val="2E74B5" w:themeColor="accent1" w:themeShade="BF"/>
    </w:rPr>
  </w:style>
  <w:style w:type="paragraph" w:styleId="GlAlnt">
    <w:name w:val="Intense Quote"/>
    <w:basedOn w:val="Normal"/>
    <w:next w:val="Normal"/>
    <w:link w:val="GlAlntChar"/>
    <w:uiPriority w:val="30"/>
    <w:qFormat/>
    <w:rsid w:val="008D233E"/>
    <w:pPr>
      <w:widowControl/>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GlAlntChar">
    <w:name w:val="Güçlü Alıntı Char"/>
    <w:basedOn w:val="VarsaylanParagrafYazTipi"/>
    <w:link w:val="GlAlnt"/>
    <w:uiPriority w:val="30"/>
    <w:rsid w:val="008D233E"/>
    <w:rPr>
      <w:i/>
      <w:iCs/>
      <w:color w:val="2E74B5" w:themeColor="accent1" w:themeShade="BF"/>
    </w:rPr>
  </w:style>
  <w:style w:type="character" w:styleId="GlBavuru">
    <w:name w:val="Intense Reference"/>
    <w:basedOn w:val="VarsaylanParagrafYazTipi"/>
    <w:uiPriority w:val="32"/>
    <w:qFormat/>
    <w:rsid w:val="008D233E"/>
    <w:rPr>
      <w:b/>
      <w:bCs/>
      <w:smallCaps/>
      <w:color w:val="2E74B5" w:themeColor="accent1" w:themeShade="BF"/>
      <w:spacing w:val="5"/>
    </w:rPr>
  </w:style>
  <w:style w:type="character" w:customStyle="1" w:styleId="Gvdemetni">
    <w:name w:val="Gövde metni_"/>
    <w:basedOn w:val="VarsaylanParagrafYazTipi"/>
    <w:link w:val="Gvdemetni0"/>
    <w:rsid w:val="007E3FD0"/>
    <w:rPr>
      <w:rFonts w:ascii="Times New Roman" w:eastAsia="Times New Roman" w:hAnsi="Times New Roman" w:cs="Times New Roman"/>
      <w:sz w:val="30"/>
      <w:szCs w:val="30"/>
    </w:rPr>
  </w:style>
  <w:style w:type="paragraph" w:customStyle="1" w:styleId="Gvdemetni0">
    <w:name w:val="Gövde metni"/>
    <w:basedOn w:val="Normal"/>
    <w:link w:val="Gvdemetni"/>
    <w:rsid w:val="007E3FD0"/>
    <w:pPr>
      <w:ind w:firstLine="400"/>
    </w:pPr>
    <w:rPr>
      <w:rFonts w:ascii="Times New Roman" w:eastAsia="Times New Roman" w:hAnsi="Times New Roman" w:cs="Times New Roman"/>
      <w:color w:val="auto"/>
      <w:kern w:val="2"/>
      <w:sz w:val="30"/>
      <w:szCs w:val="3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328</Words>
  <Characters>2346</Characters>
  <Application>Microsoft Office Word</Application>
  <DocSecurity>0</DocSecurity>
  <Lines>51</Lines>
  <Paragraphs>18</Paragraphs>
  <ScaleCrop>false</ScaleCrop>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YILMAZ – ASSET GUMRUK / ISTANBUL</dc:creator>
  <cp:keywords/>
  <dc:description/>
  <cp:lastModifiedBy>Onal YILMAZ – ASSET GUMRUK / ISTANBUL</cp:lastModifiedBy>
  <cp:revision>4</cp:revision>
  <dcterms:created xsi:type="dcterms:W3CDTF">2026-06-15T07:52:00Z</dcterms:created>
  <dcterms:modified xsi:type="dcterms:W3CDTF">2026-06-15T07:57:00Z</dcterms:modified>
</cp:coreProperties>
</file>