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072"/>
      </w:tblGrid>
      <w:tr w:rsidR="00CA7ADA" w:rsidRPr="00CA7ADA" w14:paraId="51A62675" w14:textId="77777777">
        <w:tc>
          <w:tcPr>
            <w:tcW w:w="5000" w:type="pct"/>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072"/>
            </w:tblGrid>
            <w:tr w:rsidR="00CA7ADA" w:rsidRPr="00CA7ADA" w14:paraId="270F8C54" w14:textId="77777777">
              <w:tc>
                <w:tcPr>
                  <w:tcW w:w="5000" w:type="pct"/>
                  <w:tcBorders>
                    <w:top w:val="nil"/>
                    <w:left w:val="nil"/>
                    <w:bottom w:val="nil"/>
                    <w:right w:val="nil"/>
                  </w:tcBorders>
                  <w:vAlign w:val="center"/>
                  <w:hideMark/>
                </w:tcPr>
                <w:p w14:paraId="7237F436" w14:textId="77777777" w:rsidR="00CA7ADA" w:rsidRPr="00CA7ADA" w:rsidRDefault="00CA7ADA" w:rsidP="00CA7ADA">
                  <w:pPr>
                    <w:spacing w:after="0" w:line="240" w:lineRule="auto"/>
                    <w:jc w:val="center"/>
                    <w:rPr>
                      <w:rFonts w:ascii="Arial" w:eastAsia="Times New Roman" w:hAnsi="Arial" w:cs="Arial"/>
                      <w:color w:val="000000"/>
                      <w:kern w:val="0"/>
                      <w:sz w:val="20"/>
                      <w:szCs w:val="20"/>
                      <w:lang w:eastAsia="tr-TR"/>
                      <w14:ligatures w14:val="none"/>
                    </w:rPr>
                  </w:pPr>
                  <w:r w:rsidRPr="00CA7ADA">
                    <w:rPr>
                      <w:rFonts w:ascii="Arial" w:eastAsia="Times New Roman" w:hAnsi="Arial" w:cs="Arial"/>
                      <w:b/>
                      <w:bCs/>
                      <w:color w:val="000000"/>
                      <w:kern w:val="0"/>
                      <w:sz w:val="24"/>
                      <w:szCs w:val="24"/>
                      <w:lang w:eastAsia="tr-TR"/>
                      <w14:ligatures w14:val="none"/>
                    </w:rPr>
                    <w:t>07.04.2026 120810262 Antrepodaki eşyanın ithaline kadarki vergilendirilmeyen ardiye ücretinin KDV matrahına gireceği</w:t>
                  </w:r>
                </w:p>
                <w:p w14:paraId="67A0A09E" w14:textId="77777777" w:rsidR="00CA7ADA" w:rsidRPr="00CA7ADA" w:rsidRDefault="00CA7ADA" w:rsidP="00CA7ADA">
                  <w:pPr>
                    <w:spacing w:after="0" w:line="240" w:lineRule="auto"/>
                    <w:jc w:val="center"/>
                    <w:rPr>
                      <w:rFonts w:ascii="Arial" w:eastAsia="Times New Roman" w:hAnsi="Arial" w:cs="Arial"/>
                      <w:color w:val="000000"/>
                      <w:kern w:val="0"/>
                      <w:sz w:val="20"/>
                      <w:szCs w:val="20"/>
                      <w:lang w:eastAsia="tr-TR"/>
                      <w14:ligatures w14:val="none"/>
                    </w:rPr>
                  </w:pPr>
                  <w:r w:rsidRPr="00CA7ADA">
                    <w:rPr>
                      <w:rFonts w:ascii="Arial" w:eastAsia="Times New Roman" w:hAnsi="Arial" w:cs="Arial"/>
                      <w:color w:val="000000"/>
                      <w:kern w:val="0"/>
                      <w:sz w:val="20"/>
                      <w:szCs w:val="20"/>
                      <w:lang w:eastAsia="tr-TR"/>
                      <w14:ligatures w14:val="none"/>
                    </w:rPr>
                    <w:pict w14:anchorId="0CC810C4">
                      <v:rect id="_x0000_i1025" style="width:0;height:.75pt" o:hralign="center" o:hrstd="t" o:hr="t" fillcolor="#a0a0a0" stroked="f"/>
                    </w:pict>
                  </w:r>
                </w:p>
                <w:p w14:paraId="183EC7E9" w14:textId="77777777" w:rsidR="00CA7ADA" w:rsidRPr="00CA7ADA" w:rsidRDefault="00CA7ADA" w:rsidP="00CA7ADA">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b/>
                      <w:bCs/>
                      <w:color w:val="000000"/>
                      <w:kern w:val="0"/>
                      <w:sz w:val="24"/>
                      <w:szCs w:val="24"/>
                      <w:lang w:eastAsia="tr-TR"/>
                      <w14:ligatures w14:val="none"/>
                    </w:rPr>
                    <w:t>T.C.</w:t>
                  </w:r>
                </w:p>
                <w:p w14:paraId="3B87E872" w14:textId="77777777" w:rsidR="00CA7ADA" w:rsidRPr="00CA7ADA" w:rsidRDefault="00CA7ADA" w:rsidP="00CA7ADA">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b/>
                      <w:bCs/>
                      <w:color w:val="000000"/>
                      <w:kern w:val="0"/>
                      <w:sz w:val="24"/>
                      <w:szCs w:val="24"/>
                      <w:lang w:eastAsia="tr-TR"/>
                      <w14:ligatures w14:val="none"/>
                    </w:rPr>
                    <w:t>TİCARET BAKANLIĞI</w:t>
                  </w:r>
                </w:p>
                <w:p w14:paraId="67ED3D18" w14:textId="77777777" w:rsidR="00CA7ADA" w:rsidRPr="00CA7ADA" w:rsidRDefault="00CA7ADA" w:rsidP="00CA7ADA">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b/>
                      <w:bCs/>
                      <w:color w:val="000000"/>
                      <w:kern w:val="0"/>
                      <w:sz w:val="24"/>
                      <w:szCs w:val="24"/>
                      <w:lang w:eastAsia="tr-TR"/>
                      <w14:ligatures w14:val="none"/>
                    </w:rPr>
                    <w:t>Destek Hizmetleri, Tasfiye İşleri ve Döner Sermaye Genel Müdürlüğü</w:t>
                  </w:r>
                </w:p>
                <w:p w14:paraId="134DC033" w14:textId="77777777" w:rsidR="00CA7ADA" w:rsidRPr="00CA7ADA" w:rsidRDefault="00CA7ADA" w:rsidP="00CA7ADA">
                  <w:pPr>
                    <w:spacing w:before="120" w:after="0" w:line="240" w:lineRule="auto"/>
                    <w:jc w:val="both"/>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b/>
                      <w:bCs/>
                      <w:color w:val="000000"/>
                      <w:kern w:val="0"/>
                      <w:sz w:val="24"/>
                      <w:szCs w:val="24"/>
                      <w:lang w:eastAsia="tr-TR"/>
                      <w14:ligatures w14:val="none"/>
                    </w:rPr>
                    <w:t>Sayı   </w:t>
                  </w:r>
                  <w:proofErr w:type="gramStart"/>
                  <w:r w:rsidRPr="00CA7ADA">
                    <w:rPr>
                      <w:rFonts w:ascii="Times New Roman" w:eastAsia="Times New Roman" w:hAnsi="Times New Roman" w:cs="Times New Roman"/>
                      <w:b/>
                      <w:bCs/>
                      <w:color w:val="000000"/>
                      <w:kern w:val="0"/>
                      <w:sz w:val="24"/>
                      <w:szCs w:val="24"/>
                      <w:lang w:eastAsia="tr-TR"/>
                      <w14:ligatures w14:val="none"/>
                    </w:rPr>
                    <w:t>  :</w:t>
                  </w:r>
                  <w:r w:rsidRPr="00CA7ADA">
                    <w:rPr>
                      <w:rFonts w:ascii="Times New Roman" w:eastAsia="Times New Roman" w:hAnsi="Times New Roman" w:cs="Times New Roman"/>
                      <w:color w:val="000000"/>
                      <w:kern w:val="0"/>
                      <w:sz w:val="24"/>
                      <w:szCs w:val="24"/>
                      <w:lang w:eastAsia="tr-TR"/>
                      <w14:ligatures w14:val="none"/>
                    </w:rPr>
                    <w:t>E</w:t>
                  </w:r>
                  <w:proofErr w:type="gramEnd"/>
                  <w:r w:rsidRPr="00CA7ADA">
                    <w:rPr>
                      <w:rFonts w:ascii="Times New Roman" w:eastAsia="Times New Roman" w:hAnsi="Times New Roman" w:cs="Times New Roman"/>
                      <w:color w:val="000000"/>
                      <w:kern w:val="0"/>
                      <w:sz w:val="24"/>
                      <w:szCs w:val="24"/>
                      <w:lang w:eastAsia="tr-TR"/>
                      <w14:ligatures w14:val="none"/>
                    </w:rPr>
                    <w:t>-73773257-380.99-00120810262</w:t>
                  </w:r>
                </w:p>
                <w:p w14:paraId="28D32F62" w14:textId="77777777" w:rsidR="00CA7ADA" w:rsidRPr="00CA7ADA" w:rsidRDefault="00CA7ADA" w:rsidP="00CA7ADA">
                  <w:pPr>
                    <w:spacing w:before="120" w:after="0" w:line="240" w:lineRule="auto"/>
                    <w:jc w:val="both"/>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b/>
                      <w:bCs/>
                      <w:color w:val="000000"/>
                      <w:kern w:val="0"/>
                      <w:sz w:val="24"/>
                      <w:szCs w:val="24"/>
                      <w:lang w:eastAsia="tr-TR"/>
                      <w14:ligatures w14:val="none"/>
                    </w:rPr>
                    <w:t>Konu </w:t>
                  </w:r>
                  <w:proofErr w:type="gramStart"/>
                  <w:r w:rsidRPr="00CA7ADA">
                    <w:rPr>
                      <w:rFonts w:ascii="Times New Roman" w:eastAsia="Times New Roman" w:hAnsi="Times New Roman" w:cs="Times New Roman"/>
                      <w:b/>
                      <w:bCs/>
                      <w:color w:val="000000"/>
                      <w:kern w:val="0"/>
                      <w:sz w:val="24"/>
                      <w:szCs w:val="24"/>
                      <w:lang w:eastAsia="tr-TR"/>
                      <w14:ligatures w14:val="none"/>
                    </w:rPr>
                    <w:t>  :</w:t>
                  </w:r>
                  <w:r w:rsidRPr="00CA7ADA">
                    <w:rPr>
                      <w:rFonts w:ascii="Times New Roman" w:eastAsia="Times New Roman" w:hAnsi="Times New Roman" w:cs="Times New Roman"/>
                      <w:color w:val="000000"/>
                      <w:kern w:val="0"/>
                      <w:sz w:val="24"/>
                      <w:szCs w:val="24"/>
                      <w:lang w:eastAsia="tr-TR"/>
                      <w14:ligatures w14:val="none"/>
                    </w:rPr>
                    <w:t>Antrepo</w:t>
                  </w:r>
                  <w:proofErr w:type="gramEnd"/>
                  <w:r w:rsidRPr="00CA7ADA">
                    <w:rPr>
                      <w:rFonts w:ascii="Times New Roman" w:eastAsia="Times New Roman" w:hAnsi="Times New Roman" w:cs="Times New Roman"/>
                      <w:color w:val="000000"/>
                      <w:kern w:val="0"/>
                      <w:sz w:val="24"/>
                      <w:szCs w:val="24"/>
                      <w:lang w:eastAsia="tr-TR"/>
                      <w14:ligatures w14:val="none"/>
                    </w:rPr>
                    <w:t xml:space="preserve"> İşlemlerinde KDV Hesaplanması</w:t>
                  </w:r>
                </w:p>
                <w:p w14:paraId="48CD87AF" w14:textId="77777777" w:rsidR="00CA7ADA" w:rsidRPr="00CA7ADA" w:rsidRDefault="00CA7ADA" w:rsidP="00CA7ADA">
                  <w:pPr>
                    <w:spacing w:before="120" w:after="0" w:line="240" w:lineRule="auto"/>
                    <w:jc w:val="center"/>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color w:val="000000"/>
                      <w:kern w:val="0"/>
                      <w:sz w:val="24"/>
                      <w:szCs w:val="24"/>
                      <w:lang w:eastAsia="tr-TR"/>
                      <w14:ligatures w14:val="none"/>
                    </w:rPr>
                    <w:t> </w:t>
                  </w:r>
                </w:p>
                <w:p w14:paraId="0FDB308D" w14:textId="77777777" w:rsidR="00CA7ADA" w:rsidRPr="00CA7ADA" w:rsidRDefault="00CA7ADA" w:rsidP="00CA7ADA">
                  <w:pPr>
                    <w:spacing w:before="120" w:after="0" w:line="240" w:lineRule="auto"/>
                    <w:jc w:val="center"/>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color w:val="000000"/>
                      <w:kern w:val="0"/>
                      <w:sz w:val="24"/>
                      <w:szCs w:val="24"/>
                      <w:lang w:eastAsia="tr-TR"/>
                      <w14:ligatures w14:val="none"/>
                    </w:rPr>
                    <w:t> </w:t>
                  </w:r>
                </w:p>
                <w:p w14:paraId="66E23AE1" w14:textId="77777777" w:rsidR="00CA7ADA" w:rsidRPr="00CA7ADA" w:rsidRDefault="00CA7ADA" w:rsidP="00CA7ADA">
                  <w:pPr>
                    <w:spacing w:before="120" w:after="0" w:line="240" w:lineRule="auto"/>
                    <w:jc w:val="center"/>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color w:val="000000"/>
                      <w:kern w:val="0"/>
                      <w:sz w:val="24"/>
                      <w:szCs w:val="24"/>
                      <w:lang w:eastAsia="tr-TR"/>
                      <w14:ligatures w14:val="none"/>
                    </w:rPr>
                    <w:t> </w:t>
                  </w:r>
                </w:p>
                <w:p w14:paraId="0FF9C9A5" w14:textId="77777777" w:rsidR="00CA7ADA" w:rsidRPr="00CA7ADA" w:rsidRDefault="00CA7ADA" w:rsidP="00CA7ADA">
                  <w:pPr>
                    <w:spacing w:before="120" w:after="0" w:line="240" w:lineRule="auto"/>
                    <w:jc w:val="center"/>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b/>
                      <w:bCs/>
                      <w:color w:val="000000"/>
                      <w:kern w:val="0"/>
                      <w:sz w:val="24"/>
                      <w:szCs w:val="24"/>
                      <w:lang w:eastAsia="tr-TR"/>
                      <w14:ligatures w14:val="none"/>
                    </w:rPr>
                    <w:t>07.04.2026 / 120810262</w:t>
                  </w:r>
                </w:p>
                <w:p w14:paraId="7CB974BD" w14:textId="77777777" w:rsidR="00CA7ADA" w:rsidRPr="00CA7ADA" w:rsidRDefault="00CA7ADA" w:rsidP="00CA7ADA">
                  <w:pPr>
                    <w:spacing w:before="120" w:after="0" w:line="240" w:lineRule="auto"/>
                    <w:jc w:val="center"/>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b/>
                      <w:bCs/>
                      <w:color w:val="000000"/>
                      <w:kern w:val="0"/>
                      <w:sz w:val="24"/>
                      <w:szCs w:val="24"/>
                      <w:lang w:eastAsia="tr-TR"/>
                      <w14:ligatures w14:val="none"/>
                    </w:rPr>
                    <w:t>DAĞITIM YERLERİNE</w:t>
                  </w:r>
                </w:p>
                <w:p w14:paraId="71C06088" w14:textId="77777777" w:rsidR="00CA7ADA" w:rsidRPr="00CA7ADA" w:rsidRDefault="00CA7ADA" w:rsidP="00CA7ADA">
                  <w:pPr>
                    <w:spacing w:before="120" w:after="0" w:line="240" w:lineRule="auto"/>
                    <w:jc w:val="center"/>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color w:val="000000"/>
                      <w:kern w:val="0"/>
                      <w:sz w:val="24"/>
                      <w:szCs w:val="24"/>
                      <w:lang w:eastAsia="tr-TR"/>
                      <w14:ligatures w14:val="none"/>
                    </w:rPr>
                    <w:t> </w:t>
                  </w:r>
                </w:p>
                <w:p w14:paraId="7C443491" w14:textId="77777777" w:rsidR="00CA7ADA" w:rsidRPr="00CA7ADA" w:rsidRDefault="00CA7ADA" w:rsidP="00CA7ADA">
                  <w:pPr>
                    <w:spacing w:before="120" w:after="0" w:line="240" w:lineRule="auto"/>
                    <w:jc w:val="center"/>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color w:val="000000"/>
                      <w:kern w:val="0"/>
                      <w:sz w:val="24"/>
                      <w:szCs w:val="24"/>
                      <w:lang w:eastAsia="tr-TR"/>
                      <w14:ligatures w14:val="none"/>
                    </w:rPr>
                    <w:t> </w:t>
                  </w:r>
                </w:p>
                <w:p w14:paraId="5FA1A5EB" w14:textId="77777777" w:rsidR="00CA7ADA" w:rsidRPr="00CA7ADA" w:rsidRDefault="00CA7ADA" w:rsidP="00CA7ADA">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color w:val="000000"/>
                      <w:kern w:val="0"/>
                      <w:sz w:val="24"/>
                      <w:szCs w:val="24"/>
                      <w:lang w:eastAsia="tr-TR"/>
                      <w14:ligatures w14:val="none"/>
                    </w:rPr>
                    <w:t>Bakanlığımız 2025 yılı Sayıştay denetimleri kapsamında Genel Müdürlüğümüze iletilen bulgularda, ardiye hizmetlerinde Katma Değer Vergisi (KDV) istisnasının yeknesak uygulanmadığı, bazı tasfiye işletme müdürlüklerinde KDV tahakkuku yapıldığı, bu uygulamanın aynı nitelikteki hizmetlerde tasfiye işletme müdürlüklerince farklı uygulamaların ortaya çıkmasına neden olduğu tespiti iletilmiştir.</w:t>
                  </w:r>
                </w:p>
                <w:p w14:paraId="57672354" w14:textId="77777777" w:rsidR="00CA7ADA" w:rsidRPr="00CA7ADA" w:rsidRDefault="00CA7ADA" w:rsidP="00CA7ADA">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color w:val="000000"/>
                      <w:kern w:val="0"/>
                      <w:sz w:val="24"/>
                      <w:szCs w:val="24"/>
                      <w:lang w:eastAsia="tr-TR"/>
                      <w14:ligatures w14:val="none"/>
                    </w:rPr>
                    <w:t>Söz konusu hususlarla ilgili olarak Hazine ve Maliye Bakanlığı Gelir İdaresi Başkanlığı`na 05.02.2026 tarihli 118652408 sayılı yazımızla görüş sorulmuş olup, anılan Başkanlığın 11.03.2026 tarihli 28485 sayılı bir örneği ilişikte ekli yazısında;</w:t>
                  </w:r>
                </w:p>
                <w:p w14:paraId="2AC32A21" w14:textId="77777777" w:rsidR="00CA7ADA" w:rsidRPr="00CA7ADA" w:rsidRDefault="00CA7ADA" w:rsidP="00CA7ADA">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color w:val="000000"/>
                      <w:kern w:val="0"/>
                      <w:sz w:val="24"/>
                      <w:szCs w:val="24"/>
                      <w:lang w:eastAsia="tr-TR"/>
                      <w14:ligatures w14:val="none"/>
                    </w:rPr>
                    <w:t>“...</w:t>
                  </w:r>
                  <w:r w:rsidRPr="00CA7ADA">
                    <w:rPr>
                      <w:rFonts w:ascii="Times New Roman" w:eastAsia="Times New Roman" w:hAnsi="Times New Roman" w:cs="Times New Roman"/>
                      <w:i/>
                      <w:iCs/>
                      <w:color w:val="000000"/>
                      <w:kern w:val="0"/>
                      <w:sz w:val="24"/>
                      <w:szCs w:val="24"/>
                      <w:lang w:eastAsia="tr-TR"/>
                      <w14:ligatures w14:val="none"/>
                    </w:rPr>
                    <w:t>Gümrüklü alanlarda yapılan hizmetlerdeki istisna uygulamasına yönelik olarak KDV Genel Uygulama Tebliğinin (II/F-4.14.) bölümünde ayrıntılı açıklamalar yer almaktadır.</w:t>
                  </w:r>
                </w:p>
                <w:p w14:paraId="1C33FAF3" w14:textId="77777777" w:rsidR="00CA7ADA" w:rsidRPr="00CA7ADA" w:rsidRDefault="00CA7ADA" w:rsidP="00CA7ADA">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i/>
                      <w:iCs/>
                      <w:color w:val="000000"/>
                      <w:kern w:val="0"/>
                      <w:sz w:val="24"/>
                      <w:szCs w:val="24"/>
                      <w:lang w:eastAsia="tr-TR"/>
                      <w14:ligatures w14:val="none"/>
                    </w:rPr>
                    <w:t>Diğer taraftan, söz konusu Tebliğin “III/A-2 İthalatta Matrah” başlıklı bölümünde; “...Bu kapsamda, örneğin, ithal edilen eşyanın gümrük antreposuna konulduğu tarihten gümrük beyannamesinin tescil tarihine kadar geçen süre için ödenen ardiye ücreti üzerinden KDV Kanununun (17/4-o) maddesine göre KDV hesaplanmadığından vergilendirilmeyen bu tutar, ithalatta KDV matrahına dahil edilir. Malın, ithalat işlemi gerçekleştikten sonra da gümrük antreposunda kalmaya devam etmesi durumunda gümrük beyannamesinin tescil tarihine kadar verilen hizmet için ayrı bir fatura düzenlenebileceği gibi antrepodan çekiş sırasında işlem için tek bir fatura da düzenlenebilir. Bu durumda gümrük beyannamesinin tescil tarihine kadar verilen ardiye hizmet bedeline isabet eden tutar, fatura üzerinde ayrıca gösterilir ya da “İşlem bedelinin ... TL`si gümrük beyannamesinin tescil tarihine kadar verilen hizmet bedeline aittir.” şeklinde bir açıklama yapılır.” açıklamalarına yer verilmiştir.</w:t>
                  </w:r>
                </w:p>
                <w:p w14:paraId="112EF048" w14:textId="77777777" w:rsidR="00CA7ADA" w:rsidRPr="00CA7ADA" w:rsidRDefault="00CA7ADA" w:rsidP="00CA7ADA">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i/>
                      <w:iCs/>
                      <w:color w:val="000000"/>
                      <w:kern w:val="0"/>
                      <w:sz w:val="24"/>
                      <w:szCs w:val="24"/>
                      <w:lang w:eastAsia="tr-TR"/>
                      <w14:ligatures w14:val="none"/>
                    </w:rPr>
                    <w:t>Buna göre Gümrük antrepoları ve geçici depolama yerleri ile gümrük hizmetlerinin verildiği gümrüklü sahalarda, ithalat ve ihracat işlemlerine konu mallar ile transit rejim kapsamında işlem gören mallar için verilen ardiye, depolama ve terminal hizmetleri 3065 sayılı Kanunun 17/4-ö maddesi kapsamında KDV`den istisnadır. Öte yandan, 3065 sayılı Kanunun 17/4-ö maddesi kapsamında istisna uygulanan eşyaların ithal edilmesi halinde, eşyanın gümrük antreposu veya geçici depolama yerine konulduğu tarihten gümrük beyannamesinin tescil tarihine kadar geçen süre için ödenen bedel üzerinden KDV hesaplanmaması gerektiğinden, vergilendirilmeyen bu tutar 3065 sayılı Kanunun 21/c maddesine göre KDV matrahına dahil edilecektir.</w:t>
                  </w:r>
                  <w:r w:rsidRPr="00CA7ADA">
                    <w:rPr>
                      <w:rFonts w:ascii="Times New Roman" w:eastAsia="Times New Roman" w:hAnsi="Times New Roman" w:cs="Times New Roman"/>
                      <w:color w:val="000000"/>
                      <w:kern w:val="0"/>
                      <w:sz w:val="24"/>
                      <w:szCs w:val="24"/>
                      <w:lang w:eastAsia="tr-TR"/>
                      <w14:ligatures w14:val="none"/>
                    </w:rPr>
                    <w:t>” denilmektedir.</w:t>
                  </w:r>
                </w:p>
                <w:p w14:paraId="50C4AFE1" w14:textId="77777777" w:rsidR="00CA7ADA" w:rsidRPr="00CA7ADA" w:rsidRDefault="00CA7ADA" w:rsidP="00CA7ADA">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color w:val="000000"/>
                      <w:kern w:val="0"/>
                      <w:sz w:val="24"/>
                      <w:szCs w:val="24"/>
                      <w:lang w:eastAsia="tr-TR"/>
                      <w14:ligatures w14:val="none"/>
                    </w:rPr>
                    <w:t>Bakanlığımıza ait gümrüklü sahalarda/ambarlarda (geçici depolama/antrepo) yürütülen ardiye ve terminal hizmetleri kapsamında uygulanacak KDV işlemlerinde anılan Başkanlığın söz konusu yazısında yer alan görüş doğrultusunda işlem yapılması hususunda,</w:t>
                  </w:r>
                </w:p>
                <w:p w14:paraId="249C2DA5" w14:textId="77777777" w:rsidR="00CA7ADA" w:rsidRPr="00CA7ADA" w:rsidRDefault="00CA7ADA" w:rsidP="00CA7ADA">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color w:val="000000"/>
                      <w:kern w:val="0"/>
                      <w:sz w:val="24"/>
                      <w:szCs w:val="24"/>
                      <w:lang w:eastAsia="tr-TR"/>
                      <w14:ligatures w14:val="none"/>
                    </w:rPr>
                    <w:t>Bilgilerini ve gereğini rica ederim.</w:t>
                  </w:r>
                </w:p>
                <w:p w14:paraId="168FE3CB" w14:textId="77777777" w:rsidR="00CA7ADA" w:rsidRPr="00CA7ADA" w:rsidRDefault="00CA7ADA" w:rsidP="00CA7ADA">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color w:val="000000"/>
                      <w:kern w:val="0"/>
                      <w:sz w:val="24"/>
                      <w:szCs w:val="24"/>
                      <w:lang w:eastAsia="tr-TR"/>
                      <w14:ligatures w14:val="none"/>
                    </w:rPr>
                    <w:t> </w:t>
                  </w:r>
                </w:p>
                <w:p w14:paraId="292295D9" w14:textId="77777777" w:rsidR="00CA7ADA" w:rsidRPr="00CA7ADA" w:rsidRDefault="00CA7ADA" w:rsidP="00CA7ADA">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color w:val="000000"/>
                      <w:kern w:val="0"/>
                      <w:sz w:val="24"/>
                      <w:szCs w:val="24"/>
                      <w:lang w:eastAsia="tr-TR"/>
                      <w14:ligatures w14:val="none"/>
                    </w:rPr>
                    <w:t> </w:t>
                  </w:r>
                </w:p>
                <w:p w14:paraId="2EDB7B07" w14:textId="77777777" w:rsidR="00CA7ADA" w:rsidRPr="00CA7ADA" w:rsidRDefault="00CA7ADA" w:rsidP="00CA7ADA">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color w:val="000000"/>
                      <w:kern w:val="0"/>
                      <w:sz w:val="24"/>
                      <w:szCs w:val="24"/>
                      <w:lang w:eastAsia="tr-TR"/>
                      <w14:ligatures w14:val="none"/>
                    </w:rPr>
                    <w:t>Oğuzhan ŞATIROĞLU</w:t>
                  </w:r>
                </w:p>
                <w:p w14:paraId="350B832D" w14:textId="77777777" w:rsidR="00CA7ADA" w:rsidRPr="00CA7ADA" w:rsidRDefault="00CA7ADA" w:rsidP="00CA7ADA">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color w:val="000000"/>
                      <w:kern w:val="0"/>
                      <w:sz w:val="24"/>
                      <w:szCs w:val="24"/>
                      <w:lang w:eastAsia="tr-TR"/>
                      <w14:ligatures w14:val="none"/>
                    </w:rPr>
                    <w:t>Bakan a.</w:t>
                  </w:r>
                </w:p>
                <w:p w14:paraId="15B421B4" w14:textId="77777777" w:rsidR="00CA7ADA" w:rsidRPr="00CA7ADA" w:rsidRDefault="00CA7ADA" w:rsidP="00CA7ADA">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color w:val="000000"/>
                      <w:kern w:val="0"/>
                      <w:sz w:val="24"/>
                      <w:szCs w:val="24"/>
                      <w:lang w:eastAsia="tr-TR"/>
                      <w14:ligatures w14:val="none"/>
                    </w:rPr>
                    <w:t>Genel Müdür</w:t>
                  </w:r>
                </w:p>
                <w:p w14:paraId="3A7DAD63" w14:textId="77777777" w:rsidR="00CA7ADA" w:rsidRPr="00CA7ADA" w:rsidRDefault="00CA7ADA" w:rsidP="00CA7ADA">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color w:val="000000"/>
                      <w:kern w:val="0"/>
                      <w:sz w:val="24"/>
                      <w:szCs w:val="24"/>
                      <w:lang w:eastAsia="tr-TR"/>
                      <w14:ligatures w14:val="none"/>
                    </w:rPr>
                    <w:t> </w:t>
                  </w:r>
                </w:p>
                <w:p w14:paraId="0271953F" w14:textId="77777777" w:rsidR="00CA7ADA" w:rsidRPr="00CA7ADA" w:rsidRDefault="00CA7ADA" w:rsidP="00CA7ADA">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color w:val="000000"/>
                      <w:kern w:val="0"/>
                      <w:sz w:val="24"/>
                      <w:szCs w:val="24"/>
                      <w:lang w:eastAsia="tr-TR"/>
                      <w14:ligatures w14:val="none"/>
                    </w:rPr>
                    <w:t> </w:t>
                  </w:r>
                </w:p>
                <w:p w14:paraId="5A77430A" w14:textId="77777777" w:rsidR="00CA7ADA" w:rsidRPr="00CA7ADA" w:rsidRDefault="00CA7ADA" w:rsidP="00CA7ADA">
                  <w:pPr>
                    <w:spacing w:before="100" w:beforeAutospacing="1" w:after="0" w:line="240" w:lineRule="auto"/>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b/>
                      <w:bCs/>
                      <w:color w:val="000000"/>
                      <w:kern w:val="0"/>
                      <w:sz w:val="24"/>
                      <w:szCs w:val="24"/>
                      <w:lang w:eastAsia="tr-TR"/>
                      <w14:ligatures w14:val="none"/>
                    </w:rPr>
                    <w:t>Ek:</w:t>
                  </w:r>
                  <w:r w:rsidRPr="00CA7ADA">
                    <w:rPr>
                      <w:rFonts w:ascii="Times New Roman" w:eastAsia="Times New Roman" w:hAnsi="Times New Roman" w:cs="Times New Roman"/>
                      <w:color w:val="000000"/>
                      <w:kern w:val="0"/>
                      <w:sz w:val="24"/>
                      <w:szCs w:val="24"/>
                      <w:lang w:eastAsia="tr-TR"/>
                      <w14:ligatures w14:val="none"/>
                    </w:rPr>
                    <w:t> Yazı</w:t>
                  </w:r>
                </w:p>
                <w:p w14:paraId="2C53B678" w14:textId="77777777" w:rsidR="00CA7ADA" w:rsidRPr="00CA7ADA" w:rsidRDefault="00CA7ADA" w:rsidP="00CA7ADA">
                  <w:pPr>
                    <w:spacing w:before="100" w:beforeAutospacing="1" w:after="0" w:line="240" w:lineRule="auto"/>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color w:val="000000"/>
                      <w:kern w:val="0"/>
                      <w:sz w:val="24"/>
                      <w:szCs w:val="24"/>
                      <w:lang w:eastAsia="tr-TR"/>
                      <w14:ligatures w14:val="none"/>
                    </w:rPr>
                    <w:t> </w:t>
                  </w:r>
                </w:p>
                <w:p w14:paraId="228BF04A" w14:textId="77777777" w:rsidR="00CA7ADA" w:rsidRPr="00CA7ADA" w:rsidRDefault="00CA7ADA" w:rsidP="00CA7ADA">
                  <w:pPr>
                    <w:spacing w:before="100" w:beforeAutospacing="1" w:after="0" w:line="240" w:lineRule="auto"/>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color w:val="000000"/>
                      <w:kern w:val="0"/>
                      <w:sz w:val="24"/>
                      <w:szCs w:val="24"/>
                      <w:lang w:eastAsia="tr-TR"/>
                      <w14:ligatures w14:val="none"/>
                    </w:rPr>
                    <w:t> </w:t>
                  </w:r>
                </w:p>
                <w:p w14:paraId="6D8E006D" w14:textId="77777777" w:rsidR="00CA7ADA" w:rsidRPr="00CA7ADA" w:rsidRDefault="00CA7ADA" w:rsidP="00CA7ADA">
                  <w:pPr>
                    <w:spacing w:before="100" w:beforeAutospacing="1" w:after="0" w:line="240" w:lineRule="auto"/>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b/>
                      <w:bCs/>
                      <w:color w:val="000000"/>
                      <w:kern w:val="0"/>
                      <w:sz w:val="24"/>
                      <w:szCs w:val="24"/>
                      <w:lang w:eastAsia="tr-TR"/>
                      <w14:ligatures w14:val="none"/>
                    </w:rPr>
                    <w:t>Dağıtım:</w:t>
                  </w:r>
                </w:p>
                <w:p w14:paraId="7BB3429D" w14:textId="77777777" w:rsidR="00CA7ADA" w:rsidRPr="00CA7ADA" w:rsidRDefault="00CA7ADA" w:rsidP="00CA7ADA">
                  <w:pPr>
                    <w:spacing w:before="100" w:beforeAutospacing="1" w:after="0" w:line="240" w:lineRule="auto"/>
                    <w:rPr>
                      <w:rFonts w:ascii="Arial" w:eastAsia="Times New Roman" w:hAnsi="Arial" w:cs="Arial"/>
                      <w:color w:val="000000"/>
                      <w:kern w:val="0"/>
                      <w:sz w:val="20"/>
                      <w:szCs w:val="20"/>
                      <w:lang w:eastAsia="tr-TR"/>
                      <w14:ligatures w14:val="none"/>
                    </w:rPr>
                  </w:pPr>
                  <w:r w:rsidRPr="00CA7ADA">
                    <w:rPr>
                      <w:rFonts w:ascii="Times New Roman" w:eastAsia="Times New Roman" w:hAnsi="Times New Roman" w:cs="Times New Roman"/>
                      <w:color w:val="000000"/>
                      <w:kern w:val="0"/>
                      <w:sz w:val="24"/>
                      <w:szCs w:val="24"/>
                      <w:lang w:eastAsia="tr-TR"/>
                      <w14:ligatures w14:val="none"/>
                    </w:rPr>
                    <w:t>Tüm Gümrük ve Dış Ticaret Bölge Müdürlükleri</w:t>
                  </w:r>
                </w:p>
              </w:tc>
            </w:tr>
          </w:tbl>
          <w:p w14:paraId="1A873FC5" w14:textId="77777777" w:rsidR="00CA7ADA" w:rsidRPr="00CA7ADA" w:rsidRDefault="00CA7ADA" w:rsidP="00CA7ADA">
            <w:pPr>
              <w:spacing w:after="0" w:line="240" w:lineRule="auto"/>
              <w:rPr>
                <w:rFonts w:ascii="Times New Roman" w:eastAsia="Times New Roman" w:hAnsi="Times New Roman" w:cs="Times New Roman"/>
                <w:kern w:val="0"/>
                <w:sz w:val="24"/>
                <w:szCs w:val="24"/>
                <w:lang w:eastAsia="tr-TR"/>
                <w14:ligatures w14:val="none"/>
              </w:rPr>
            </w:pPr>
          </w:p>
        </w:tc>
      </w:tr>
    </w:tbl>
    <w:p w14:paraId="35EEBA0B" w14:textId="77777777" w:rsidR="00226B1B" w:rsidRDefault="00226B1B"/>
    <w:sectPr w:rsidR="00226B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0C"/>
    <w:rsid w:val="00226B1B"/>
    <w:rsid w:val="00265060"/>
    <w:rsid w:val="00410B4D"/>
    <w:rsid w:val="0063710C"/>
    <w:rsid w:val="00B91739"/>
    <w:rsid w:val="00CA7A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EA9DF-3B78-4870-A90F-6BA44540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371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371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3710C"/>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3710C"/>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3710C"/>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3710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3710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3710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3710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710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3710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3710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3710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3710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3710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3710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3710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3710C"/>
    <w:rPr>
      <w:rFonts w:eastAsiaTheme="majorEastAsia" w:cstheme="majorBidi"/>
      <w:color w:val="272727" w:themeColor="text1" w:themeTint="D8"/>
    </w:rPr>
  </w:style>
  <w:style w:type="paragraph" w:styleId="KonuBal">
    <w:name w:val="Title"/>
    <w:basedOn w:val="Normal"/>
    <w:next w:val="Normal"/>
    <w:link w:val="KonuBalChar"/>
    <w:uiPriority w:val="10"/>
    <w:qFormat/>
    <w:rsid w:val="00637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3710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3710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3710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3710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3710C"/>
    <w:rPr>
      <w:i/>
      <w:iCs/>
      <w:color w:val="404040" w:themeColor="text1" w:themeTint="BF"/>
    </w:rPr>
  </w:style>
  <w:style w:type="paragraph" w:styleId="ListeParagraf">
    <w:name w:val="List Paragraph"/>
    <w:basedOn w:val="Normal"/>
    <w:uiPriority w:val="34"/>
    <w:qFormat/>
    <w:rsid w:val="0063710C"/>
    <w:pPr>
      <w:ind w:left="720"/>
      <w:contextualSpacing/>
    </w:pPr>
  </w:style>
  <w:style w:type="character" w:styleId="GlVurgulama">
    <w:name w:val="Intense Emphasis"/>
    <w:basedOn w:val="VarsaylanParagrafYazTipi"/>
    <w:uiPriority w:val="21"/>
    <w:qFormat/>
    <w:rsid w:val="0063710C"/>
    <w:rPr>
      <w:i/>
      <w:iCs/>
      <w:color w:val="2E74B5" w:themeColor="accent1" w:themeShade="BF"/>
    </w:rPr>
  </w:style>
  <w:style w:type="paragraph" w:styleId="GlAlnt">
    <w:name w:val="Intense Quote"/>
    <w:basedOn w:val="Normal"/>
    <w:next w:val="Normal"/>
    <w:link w:val="GlAlntChar"/>
    <w:uiPriority w:val="30"/>
    <w:qFormat/>
    <w:rsid w:val="006371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3710C"/>
    <w:rPr>
      <w:i/>
      <w:iCs/>
      <w:color w:val="2E74B5" w:themeColor="accent1" w:themeShade="BF"/>
    </w:rPr>
  </w:style>
  <w:style w:type="character" w:styleId="GlBavuru">
    <w:name w:val="Intense Reference"/>
    <w:basedOn w:val="VarsaylanParagrafYazTipi"/>
    <w:uiPriority w:val="32"/>
    <w:qFormat/>
    <w:rsid w:val="0063710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2845</Characters>
  <Application>Microsoft Office Word</Application>
  <DocSecurity>0</DocSecurity>
  <Lines>62</Lines>
  <Paragraphs>21</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3</cp:revision>
  <dcterms:created xsi:type="dcterms:W3CDTF">2026-04-10T18:52:00Z</dcterms:created>
  <dcterms:modified xsi:type="dcterms:W3CDTF">2026-04-10T19:00:00Z</dcterms:modified>
</cp:coreProperties>
</file>