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75D" w:rsidRDefault="00AB075D" w:rsidP="00AB075D">
      <w:pPr>
        <w:jc w:val="center"/>
        <w:rPr>
          <w:b/>
          <w:bCs/>
          <w:color w:val="800000"/>
          <w:sz w:val="28"/>
          <w:szCs w:val="28"/>
        </w:rPr>
      </w:pPr>
      <w:r>
        <w:rPr>
          <w:b/>
          <w:bCs/>
          <w:color w:val="800000"/>
          <w:sz w:val="28"/>
          <w:szCs w:val="28"/>
        </w:rPr>
        <w:t>İTHALAT REJİMİ KARARINA EK KARAR</w:t>
      </w:r>
    </w:p>
    <w:p w:rsidR="00AB075D" w:rsidRDefault="00AB075D" w:rsidP="00AB075D">
      <w:pPr>
        <w:spacing w:before="120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Karar Sayısı: 2017/10439</w:t>
      </w:r>
    </w:p>
    <w:p w:rsidR="00AB075D" w:rsidRDefault="00AB075D" w:rsidP="00AB075D">
      <w:pPr>
        <w:spacing w:before="12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28.07.2017 tarih ve 30137 sayılı R.G.</w:t>
      </w:r>
    </w:p>
    <w:p w:rsidR="00AB075D" w:rsidRDefault="00AB075D" w:rsidP="00AB075D">
      <w:pPr>
        <w:spacing w:before="120"/>
        <w:jc w:val="right"/>
        <w:rPr>
          <w:i/>
          <w:iCs/>
          <w:sz w:val="20"/>
          <w:szCs w:val="20"/>
        </w:rPr>
      </w:pPr>
    </w:p>
    <w:p w:rsidR="00AB075D" w:rsidRDefault="00AB075D" w:rsidP="00AB075D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20/12/1995 tarihli ve 95/</w:t>
      </w:r>
      <w:hyperlink r:id="rId4" w:history="1">
        <w:r>
          <w:rPr>
            <w:rStyle w:val="Kpr"/>
            <w:sz w:val="22"/>
            <w:szCs w:val="22"/>
          </w:rPr>
          <w:t>7606</w:t>
        </w:r>
      </w:hyperlink>
      <w:r>
        <w:rPr>
          <w:sz w:val="22"/>
          <w:szCs w:val="22"/>
        </w:rPr>
        <w:t xml:space="preserve"> sayılı Kararnameye ektir.</w:t>
      </w:r>
    </w:p>
    <w:p w:rsidR="00AB075D" w:rsidRDefault="00AB075D" w:rsidP="00AB075D">
      <w:pPr>
        <w:spacing w:before="120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Ekli "İthalat Rejimi Kararına Ek Karar"ın yürürlüğe konulması; Ekonomi Bakanlığının 31/5/2017 tarihli ve 58761 sayılı yazısı üzerine, 20/2/1930 tarihli ve 1567 sayılı Kanunun 1 inci, 14/5/1964 tarihli ve 474 sayılı Kanunun 2 nci, 6/5/1986 tarihli ve 3283 sayılı Kanunun 2 nci, 27/10/1999 tarihli ve 4458 sayılı Kanunun 16 nci, 22 nci ve 55 inci maddeleri ile 2/2/1984 tarihli ve 2976 sayılı Kanun hükümlerine göre, Bakanlar Kurulu'nca 5/6/2017 tarihinde kararlaştırılmıştır.</w:t>
      </w:r>
    </w:p>
    <w:p w:rsidR="00AB075D" w:rsidRDefault="00AB075D" w:rsidP="00AB075D">
      <w:pPr>
        <w:spacing w:before="120"/>
        <w:ind w:firstLine="709"/>
        <w:jc w:val="both"/>
        <w:rPr>
          <w:sz w:val="22"/>
          <w:szCs w:val="22"/>
        </w:rPr>
      </w:pPr>
    </w:p>
    <w:p w:rsidR="00AB075D" w:rsidRDefault="00AB075D" w:rsidP="00AB075D">
      <w:pPr>
        <w:spacing w:before="12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MADDE 1-</w:t>
      </w:r>
      <w:r>
        <w:rPr>
          <w:sz w:val="22"/>
          <w:szCs w:val="22"/>
        </w:rPr>
        <w:t xml:space="preserve"> 20/12/1995 tarihli ve 95/7606 sayılı Bakanlar Kurulu Kararı ile yürürlüğe konulan İthalat Rejimi Kararının eki </w:t>
      </w:r>
      <w:r>
        <w:rPr>
          <w:sz w:val="22"/>
          <w:szCs w:val="22"/>
          <w:lang w:val="en-US"/>
        </w:rPr>
        <w:t xml:space="preserve">II </w:t>
      </w:r>
      <w:r>
        <w:rPr>
          <w:sz w:val="22"/>
          <w:szCs w:val="22"/>
        </w:rPr>
        <w:t>sayılı listede yer alan ve ekli tabloda gümrük tarife istatistik pozisyonu (G.T.İ.P) ve madde ismi belirtilen eşyalara ilişkin gümrük vergisi oranları karşılarında gösterildiği şekilde değiştirilmiştir.</w:t>
      </w:r>
    </w:p>
    <w:p w:rsidR="00AB075D" w:rsidRDefault="00AB075D" w:rsidP="00AB075D">
      <w:pPr>
        <w:rPr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4520"/>
        <w:gridCol w:w="271"/>
        <w:gridCol w:w="505"/>
        <w:gridCol w:w="427"/>
        <w:gridCol w:w="427"/>
        <w:gridCol w:w="427"/>
        <w:gridCol w:w="427"/>
        <w:gridCol w:w="427"/>
      </w:tblGrid>
      <w:tr w:rsidR="00AB075D" w:rsidTr="00AB075D">
        <w:trPr>
          <w:trHeight w:val="180"/>
        </w:trPr>
        <w:tc>
          <w:tcPr>
            <w:tcW w:w="0" w:type="auto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GTİP</w:t>
            </w:r>
          </w:p>
        </w:tc>
        <w:tc>
          <w:tcPr>
            <w:tcW w:w="0" w:type="auto"/>
            <w:vMerge w:val="restart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MADDE İSMİ</w:t>
            </w:r>
          </w:p>
        </w:tc>
        <w:tc>
          <w:tcPr>
            <w:tcW w:w="0" w:type="auto"/>
            <w:gridSpan w:val="7"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GÜMRÜK VERGİSİ ORANI (%)</w:t>
            </w:r>
          </w:p>
        </w:tc>
      </w:tr>
      <w:tr w:rsidR="00AB075D" w:rsidTr="00AB075D">
        <w:trPr>
          <w:trHeight w:val="180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AB075D" w:rsidTr="00AB075D">
        <w:trPr>
          <w:trHeight w:val="180"/>
        </w:trPr>
        <w:tc>
          <w:tcPr>
            <w:tcW w:w="0" w:type="auto"/>
            <w:vMerge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dotted" w:sz="8" w:space="0" w:color="auto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shd w:val="clear" w:color="auto" w:fill="D9D9D9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AB075D" w:rsidRDefault="00AB075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</w:p>
          <w:p w:rsidR="00AB075D" w:rsidRDefault="00AB075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B075D" w:rsidTr="00AB075D">
        <w:trPr>
          <w:trHeight w:val="515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7214.20.00.00.11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Enine kesiti 6-8 mm.  (8 dahil) ye kadar olan yuvarlak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075D" w:rsidTr="00AB075D">
        <w:trPr>
          <w:trHeight w:val="515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7214.20.00.00.12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Enine kesiti 8-10 mm. (10 dahil) ye kadar olan yuvarlak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075D" w:rsidTr="00AB075D">
        <w:trPr>
          <w:trHeight w:val="515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7214.20.00.00.13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Enine kesiti 10-26 mm. (26 dahil) ye kadar olan yuvarlak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075D" w:rsidTr="00AB075D">
        <w:trPr>
          <w:trHeight w:val="515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7214.20.00.00.14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Enine kesiti 26 mm.den  fazla olan yuvarlak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075D" w:rsidTr="00AB075D">
        <w:trPr>
          <w:trHeight w:val="180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7214.20.00.00.15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Dört köşeli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075D" w:rsidTr="00AB075D">
        <w:trPr>
          <w:trHeight w:val="180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Altı köşeli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AB075D" w:rsidTr="00AB075D">
        <w:trPr>
          <w:trHeight w:val="180"/>
        </w:trPr>
        <w:tc>
          <w:tcPr>
            <w:tcW w:w="0" w:type="auto"/>
            <w:tcBorders>
              <w:top w:val="nil"/>
              <w:left w:val="dotted" w:sz="8" w:space="0" w:color="auto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7214.20.00.00.19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Diğer köşeli çubuklar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dotted" w:sz="8" w:space="0" w:color="auto"/>
              <w:right w:val="dotted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  <w:hideMark/>
          </w:tcPr>
          <w:p w:rsidR="00AB075D" w:rsidRDefault="00AB07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</w:tbl>
    <w:p w:rsidR="00AB075D" w:rsidRDefault="00AB075D" w:rsidP="00AB075D">
      <w:pPr>
        <w:rPr>
          <w:b/>
          <w:bCs/>
          <w:sz w:val="22"/>
          <w:szCs w:val="22"/>
        </w:rPr>
      </w:pPr>
    </w:p>
    <w:p w:rsidR="00AB075D" w:rsidRDefault="00AB075D" w:rsidP="00AB075D">
      <w:pPr>
        <w:spacing w:before="12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MADDE 2-</w:t>
      </w:r>
      <w:r>
        <w:rPr>
          <w:sz w:val="22"/>
          <w:szCs w:val="22"/>
        </w:rPr>
        <w:t xml:space="preserve"> Bu Karar yayımı tarihinde yürürlüğe girer. </w:t>
      </w:r>
    </w:p>
    <w:p w:rsidR="00AB075D" w:rsidRDefault="00AB075D" w:rsidP="00AB075D">
      <w:pPr>
        <w:spacing w:before="120"/>
        <w:ind w:firstLine="709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MADDE 3- </w:t>
      </w:r>
      <w:r>
        <w:rPr>
          <w:sz w:val="22"/>
          <w:szCs w:val="22"/>
        </w:rPr>
        <w:t>Bu Karar hükümlerini Ek</w:t>
      </w:r>
      <w:bookmarkStart w:id="0" w:name="_GoBack"/>
      <w:bookmarkEnd w:id="0"/>
      <w:r>
        <w:rPr>
          <w:sz w:val="22"/>
          <w:szCs w:val="22"/>
        </w:rPr>
        <w:t>onomi Bakanı yürütür.</w:t>
      </w:r>
    </w:p>
    <w:p w:rsidR="00AB075D" w:rsidRDefault="00AB075D" w:rsidP="00AB075D"/>
    <w:p w:rsidR="00AB075D" w:rsidRDefault="00AB075D" w:rsidP="00AB075D">
      <w:pPr>
        <w:rPr>
          <w:rFonts w:ascii="Calibri" w:hAnsi="Calibri"/>
          <w:sz w:val="22"/>
          <w:szCs w:val="22"/>
          <w:lang w:eastAsia="en-US"/>
        </w:rPr>
      </w:pPr>
    </w:p>
    <w:p w:rsidR="00085C9D" w:rsidRDefault="00085C9D"/>
    <w:sectPr w:rsidR="00085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6A"/>
    <w:rsid w:val="00085C9D"/>
    <w:rsid w:val="0058196A"/>
    <w:rsid w:val="00AB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51E54F-203E-4D0C-8306-E2BF5892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75D"/>
    <w:pPr>
      <w:spacing w:after="0" w:line="240" w:lineRule="auto"/>
    </w:pPr>
    <w:rPr>
      <w:rFonts w:ascii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AB075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4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onal.yilmaz\Desktop\&#304;THALAT%20REJ&#304;M&#304;%20KARARI%20%20(95-7606).doc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Önal YILMAZ – ASSET GÜMRÜK MÜŞAVİRLİĞİ / İSTANBUL</dc:creator>
  <cp:keywords/>
  <dc:description/>
  <cp:lastModifiedBy>Önal YILMAZ – ASSET GÜMRÜK MÜŞAVİRLİĞİ / İSTANBUL</cp:lastModifiedBy>
  <cp:revision>2</cp:revision>
  <dcterms:created xsi:type="dcterms:W3CDTF">2017-08-01T08:09:00Z</dcterms:created>
  <dcterms:modified xsi:type="dcterms:W3CDTF">2017-08-01T08:09:00Z</dcterms:modified>
</cp:coreProperties>
</file>