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E362A" w:rsidRPr="00AE362A" w:rsidTr="00AE362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E362A" w:rsidRPr="00AE362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E362A" w:rsidRPr="00AE362A">
                    <w:trPr>
                      <w:trHeight w:val="499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E362A" w:rsidRPr="00AE362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E362A" w:rsidRPr="00AE362A" w:rsidRDefault="00AE362A" w:rsidP="00AE362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>Gümrük Genel Tebliği (Gümrük İşlemleri) (Seri No: 77)</w:t>
                              </w:r>
                              <w:proofErr w:type="spellStart"/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>nde</w:t>
                              </w:r>
                              <w:proofErr w:type="spellEnd"/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 xml:space="preserve"> Değişiklik Yapılmasına Dair Tebliğ (Gümrük İşlemleri) (Seri No: 142) (02.07.2016 T. 29760 R.G.)</w:t>
                              </w:r>
                            </w:p>
                          </w:tc>
                        </w:tr>
                        <w:tr w:rsidR="00AE362A" w:rsidRPr="00AE362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AE362A" w:rsidRPr="00AE36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362A" w:rsidRPr="00AE362A" w:rsidRDefault="00AE362A" w:rsidP="00AE36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AE362A" w:rsidRPr="00AE362A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tr-TR"/>
                                </w:rPr>
                                <w:t>Gümrük ve Ticaret Bakanlığından: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GÜMRÜK GENEL TEBLİĞİ (GÜMRÜK İŞLEMLERİ) (SERİ NO: 77)’NDE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DEĞİŞİKLİK YAPILMASINA DAİR TEBLİĞ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(GÜMRÜK İŞLEMLERİ)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(SERİ NO: 142)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MADDE 1 –</w:t>
                              </w: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 </w:t>
                              </w:r>
                              <w:proofErr w:type="gram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4/9/2010</w:t>
                              </w:r>
                              <w:proofErr w:type="gram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 tarihli ve 27692 sayılı Resmî </w:t>
                              </w:r>
                              <w:proofErr w:type="spell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Gazete’de</w:t>
                              </w:r>
                              <w:proofErr w:type="spell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 yayımlanan Gümrük Genel Tebliği (Gümrük İşlemleri) (</w:t>
                              </w:r>
                              <w:hyperlink r:id="rId5" w:history="1">
                                <w:r w:rsidRPr="00AE36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20"/>
                                    <w:szCs w:val="20"/>
                                    <w:lang w:eastAsia="tr-TR"/>
                                  </w:rPr>
                                  <w:t xml:space="preserve">Seri </w:t>
                                </w:r>
                                <w:r w:rsidRPr="00AE36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20"/>
                                    <w:szCs w:val="20"/>
                                    <w:lang w:eastAsia="tr-TR"/>
                                  </w:rPr>
                                  <w:t>N</w:t>
                                </w:r>
                                <w:bookmarkStart w:id="0" w:name="_GoBack"/>
                                <w:bookmarkEnd w:id="0"/>
                                <w:r w:rsidRPr="00AE36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20"/>
                                    <w:szCs w:val="20"/>
                                    <w:lang w:eastAsia="tr-TR"/>
                                  </w:rPr>
                                  <w:t>o: 77</w:t>
                                </w:r>
                              </w:hyperlink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)’</w:t>
                              </w:r>
                              <w:proofErr w:type="spell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nin</w:t>
                              </w:r>
                              <w:proofErr w:type="spell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 2 </w:t>
                              </w:r>
                              <w:proofErr w:type="spell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 maddesinin birinci fıkrasında yer alan “30/1/2015 tarihli ve 29252 sayılı Resmî </w:t>
                              </w:r>
                              <w:proofErr w:type="spell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Gazete’de</w:t>
                              </w:r>
                              <w:proofErr w:type="spell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 yayımlanan Türkiye Cumhuriyeti ile İran İslam Cumhuriyeti Arasında Tercihli Ticaret Anlaşması Çerçevesindeki Ticarette Eşyanın Tercihli Menşeinin Tespiti Hakkında Yönetmelik” ifadesinden sonra gelmek üzere “, 24/5/2016 tarihli ve 29721 sayılı Resmî </w:t>
                              </w:r>
                              <w:proofErr w:type="spell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Gazete’de</w:t>
                              </w:r>
                              <w:proofErr w:type="spell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 yayımlanan D-8 Üyesi Devletler Arasında Tercihli Ticaret Anlaşması Çerçevesindeki Ticarette Eşyanın Tercihli Menşeinin Tespiti Hakkında Yönetmelik” ifadesi eklenmiştir.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MADDE 2 – </w:t>
                              </w: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Aynı Tebliğin 3 üncü maddesinin birinci fıkrasının (g) bendi aşağıdaki şekilde değiştirilmiş ve aynı fıkraya aşağıdaki (o) bendi eklenmiştir.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“g) Menşe İspat Belgeleri: Eşyanın tercihli menşeini gösteren ve 2 </w:t>
                              </w:r>
                              <w:proofErr w:type="spell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 maddede belirtilen mevzuat ile belirlenen şekle uygun olarak düzenlenen EUR.1 ve </w:t>
                              </w:r>
                              <w:proofErr w:type="gram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EUR.MED</w:t>
                              </w:r>
                              <w:proofErr w:type="gram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 Dolaşım Sertifikalarını, Form A Belgelerini, İran Menşe İspat Belgelerini, Menşe Belgelerini, D-8 Menşe İspat Belgelerini ve tercihli olmayan menşeini gösteren Menşe Şahadetnamelerini,”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gram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“o) D-8 Menşe İspat Belgesi: Türkiye ile D-8 üye ülkeleri arasında mevcut bulunan D-8 Üye Devletleri Arasında Tercihli Ticaret Anlaşması kapsamında tercihli rejimden faydalanmak üzere düzenlenen; muhteviyatı eşyanın anlaşma kuralları çerçevesinde menşeli olduğunu gösteren, gerekli kontroller yapıldıktan sonra Gümrük Müdürlüklerince vize edilmesini müteakip geçerlilik kazanan menşe ispat belgesini,”</w:t>
                              </w:r>
                              <w:proofErr w:type="gramEnd"/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MADDE 3 –</w:t>
                              </w: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 Bu Tebliğ </w:t>
                              </w:r>
                              <w:proofErr w:type="gramStart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1/7/2016</w:t>
                              </w:r>
                              <w:proofErr w:type="gramEnd"/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 tarihinden itibaren geçerli olmak üzere yayımı tarihinde yürürlüğe girer.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MADDE 4 – </w:t>
                              </w: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Bu Tebliğ hükümlerini Gümrük ve Ticaret Bakanı yürütür.</w:t>
                              </w: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  <w:p w:rsidR="00AE362A" w:rsidRPr="00AE362A" w:rsidRDefault="00AE362A" w:rsidP="00AE362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AE36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850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7"/>
                                <w:gridCol w:w="3817"/>
                                <w:gridCol w:w="4251"/>
                              </w:tblGrid>
                              <w:tr w:rsidR="00AE362A" w:rsidRPr="00AE362A">
                                <w:trPr>
                                  <w:jc w:val="center"/>
                                </w:trPr>
                                <w:tc>
                                  <w:tcPr>
                                    <w:tcW w:w="8505" w:type="dxa"/>
                                    <w:gridSpan w:val="3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Tebliğin Yayımlandığı Resmî Gazete'nin</w:t>
                                    </w:r>
                                  </w:p>
                                </w:tc>
                              </w:tr>
                              <w:tr w:rsidR="00AE362A" w:rsidRPr="00AE362A">
                                <w:trPr>
                                  <w:jc w:val="center"/>
                                </w:trPr>
                                <w:tc>
                                  <w:tcPr>
                                    <w:tcW w:w="4254" w:type="dxa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Tarihi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Sayısı</w:t>
                                    </w:r>
                                  </w:p>
                                </w:tc>
                              </w:tr>
                              <w:tr w:rsidR="00AE362A" w:rsidRPr="00AE362A">
                                <w:trPr>
                                  <w:jc w:val="center"/>
                                </w:trPr>
                                <w:tc>
                                  <w:tcPr>
                                    <w:tcW w:w="4254" w:type="dxa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4/9/2010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27692</w:t>
                                    </w:r>
                                  </w:p>
                                </w:tc>
                              </w:tr>
                              <w:tr w:rsidR="00AE362A" w:rsidRPr="00AE362A">
                                <w:trPr>
                                  <w:jc w:val="center"/>
                                </w:trPr>
                                <w:tc>
                                  <w:tcPr>
                                    <w:tcW w:w="8505" w:type="dxa"/>
                                    <w:gridSpan w:val="3"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Tebliğde Değişiklik Yapan Tebliğlerin Yayımlandığı Resmî Gazete'nin</w:t>
                                    </w:r>
                                  </w:p>
                                </w:tc>
                              </w:tr>
                              <w:tr w:rsidR="00AE362A" w:rsidRPr="00AE362A">
                                <w:trPr>
                                  <w:jc w:val="center"/>
                                </w:trPr>
                                <w:tc>
                                  <w:tcPr>
                                    <w:tcW w:w="4254" w:type="dxa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Tarihi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Sayısı</w:t>
                                    </w:r>
                                  </w:p>
                                </w:tc>
                              </w:tr>
                              <w:tr w:rsidR="00AE362A" w:rsidRPr="00AE362A">
                                <w:trPr>
                                  <w:jc w:val="center"/>
                                </w:trPr>
                                <w:tc>
                                  <w:tcPr>
                                    <w:tcW w:w="437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1-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ind w:right="469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20/12/2014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29211</w:t>
                                    </w:r>
                                  </w:p>
                                </w:tc>
                              </w:tr>
                              <w:tr w:rsidR="00AE362A" w:rsidRPr="00AE362A">
                                <w:trPr>
                                  <w:jc w:val="center"/>
                                </w:trPr>
                                <w:tc>
                                  <w:tcPr>
                                    <w:tcW w:w="437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2-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ind w:right="469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11/11/2015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AE362A" w:rsidRPr="00AE362A" w:rsidRDefault="00AE362A" w:rsidP="00AE362A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AE362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29529</w:t>
                                    </w:r>
                                  </w:p>
                                </w:tc>
                              </w:tr>
                            </w:tbl>
                            <w:p w:rsidR="00AE362A" w:rsidRPr="00AE362A" w:rsidRDefault="00AE362A" w:rsidP="00AE362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AE362A" w:rsidRPr="00AE362A" w:rsidRDefault="00AE362A" w:rsidP="00AE362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AE362A" w:rsidRPr="00AE362A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AE362A" w:rsidRPr="00AE362A" w:rsidRDefault="00AE362A" w:rsidP="00AE362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AE362A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8" type="#_x0000_t75" style="width:20.25pt;height:18pt" o:ole="">
                              <v:imagedata r:id="rId6" o:title=""/>
                            </v:shape>
                            <w:control r:id="rId7" w:name="DefaultOcxName" w:shapeid="_x0000_i1038"/>
                          </w:object>
                        </w:r>
                        <w:r w:rsidRPr="00AE362A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  İlgili Mevzuatları Göster</w:t>
                        </w:r>
                      </w:p>
                    </w:tc>
                  </w:tr>
                  <w:tr w:rsidR="00AE362A" w:rsidRPr="00AE362A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AE362A" w:rsidRPr="00AE362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E362A" w:rsidRPr="00AE362A" w:rsidRDefault="00AE362A" w:rsidP="00AE36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AE362A" w:rsidRPr="00AE362A" w:rsidRDefault="00AE362A" w:rsidP="00AE362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AE362A" w:rsidRPr="00AE362A" w:rsidRDefault="00AE362A" w:rsidP="00AE3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E362A" w:rsidRPr="00AE362A" w:rsidRDefault="00AE362A" w:rsidP="00AE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E362A" w:rsidRPr="00AE362A" w:rsidRDefault="00AE362A" w:rsidP="00AE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36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</w:t>
      </w:r>
    </w:p>
    <w:p w:rsidR="00AE362A" w:rsidRPr="00AE362A" w:rsidRDefault="00AE362A" w:rsidP="00AE36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AE362A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6" type="#_x0000_t75" style="width:36pt;height:22.5pt" o:ole="">
            <v:imagedata r:id="rId8" o:title=""/>
          </v:shape>
          <w:control r:id="rId9" w:name="DefaultOcxName2" w:shapeid="_x0000_i1036"/>
        </w:object>
      </w:r>
      <w:r w:rsidRPr="00AE362A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5" type="#_x0000_t75" style="width:49.5pt;height:18pt" o:ole="">
            <v:imagedata r:id="rId10" o:title=""/>
          </v:shape>
          <w:control r:id="rId11" w:name="DefaultOcxName3" w:shapeid="_x0000_i1035"/>
        </w:object>
      </w:r>
    </w:p>
    <w:p w:rsidR="002946CC" w:rsidRDefault="00AE362A" w:rsidP="00AE362A">
      <w:r w:rsidRPr="00AE362A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pict/>
      </w:r>
    </w:p>
    <w:sectPr w:rsidR="0029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18"/>
    <w:rsid w:val="00185718"/>
    <w:rsid w:val="002946CC"/>
    <w:rsid w:val="00A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://192.168.16.4:8080/mavi/mevzuatGoster.aspx?id=30757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Önal YILMAZ – ASSET GÜMRÜK MÜŞAVİRLİĞİ / İSTANBUL</dc:creator>
  <cp:lastModifiedBy>Önal YILMAZ – ASSET GÜMRÜK MÜŞAVİRLİĞİ / İSTANBUL</cp:lastModifiedBy>
  <cp:revision>2</cp:revision>
  <dcterms:created xsi:type="dcterms:W3CDTF">2016-07-04T05:23:00Z</dcterms:created>
  <dcterms:modified xsi:type="dcterms:W3CDTF">2016-07-04T05:23:00Z</dcterms:modified>
</cp:coreProperties>
</file>