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FF47DE" w:rsidRPr="00FF47DE" w:rsidTr="00FF47DE">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FF47DE" w:rsidRPr="00FF47DE">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FF47DE" w:rsidRPr="00FF47DE">
                    <w:trPr>
                      <w:trHeight w:val="4995"/>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FF47DE" w:rsidRPr="00FF47DE">
                          <w:tc>
                            <w:tcPr>
                              <w:tcW w:w="0" w:type="auto"/>
                              <w:vAlign w:val="center"/>
                              <w:hideMark/>
                            </w:tcPr>
                            <w:p w:rsidR="00FF47DE" w:rsidRPr="00FF47DE" w:rsidRDefault="00FF47DE" w:rsidP="00FF47DE">
                              <w:pPr>
                                <w:spacing w:after="0" w:line="240" w:lineRule="auto"/>
                                <w:jc w:val="center"/>
                                <w:rPr>
                                  <w:rFonts w:ascii="Verdana" w:eastAsia="Times New Roman" w:hAnsi="Verdana" w:cs="Times New Roman"/>
                                  <w:b/>
                                  <w:bCs/>
                                  <w:color w:val="9CA4BE"/>
                                  <w:sz w:val="18"/>
                                  <w:szCs w:val="18"/>
                                  <w:lang w:eastAsia="tr-TR"/>
                                </w:rPr>
                              </w:pPr>
                              <w:r w:rsidRPr="00FF47DE">
                                <w:rPr>
                                  <w:rFonts w:ascii="Verdana" w:eastAsia="Times New Roman" w:hAnsi="Verdana" w:cs="Times New Roman"/>
                                  <w:b/>
                                  <w:bCs/>
                                  <w:color w:val="9CA4BE"/>
                                  <w:sz w:val="18"/>
                                  <w:szCs w:val="18"/>
                                  <w:lang w:eastAsia="tr-TR"/>
                                </w:rPr>
                                <w:t>TASARRUFLU YAZI (01.07.2016/17182312)</w:t>
                              </w:r>
                            </w:p>
                          </w:tc>
                        </w:tr>
                        <w:tr w:rsidR="00FF47DE" w:rsidRPr="00FF47DE">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F47DE" w:rsidRPr="00FF47DE">
                                <w:trPr>
                                  <w:tblCellSpacing w:w="15" w:type="dxa"/>
                                </w:trPr>
                                <w:tc>
                                  <w:tcPr>
                                    <w:tcW w:w="0" w:type="auto"/>
                                    <w:vAlign w:val="center"/>
                                    <w:hideMark/>
                                  </w:tcPr>
                                  <w:p w:rsidR="00FF47DE" w:rsidRPr="00FF47DE" w:rsidRDefault="00FF47DE" w:rsidP="00FF47DE">
                                    <w:pPr>
                                      <w:spacing w:after="0" w:line="240" w:lineRule="auto"/>
                                      <w:rPr>
                                        <w:rFonts w:ascii="Times New Roman" w:eastAsia="Times New Roman" w:hAnsi="Times New Roman" w:cs="Times New Roman"/>
                                        <w:sz w:val="24"/>
                                        <w:szCs w:val="24"/>
                                        <w:lang w:eastAsia="tr-TR"/>
                                      </w:rPr>
                                    </w:pPr>
                                  </w:p>
                                </w:tc>
                              </w:tr>
                            </w:tbl>
                            <w:p w:rsidR="00FF47DE" w:rsidRPr="00FF47DE" w:rsidRDefault="00FF47DE" w:rsidP="00FF47DE">
                              <w:pPr>
                                <w:spacing w:after="0" w:line="240" w:lineRule="auto"/>
                                <w:rPr>
                                  <w:rFonts w:ascii="Times New Roman" w:eastAsia="Times New Roman" w:hAnsi="Times New Roman" w:cs="Times New Roman"/>
                                  <w:sz w:val="24"/>
                                  <w:szCs w:val="24"/>
                                  <w:lang w:eastAsia="tr-TR"/>
                                </w:rPr>
                              </w:pPr>
                            </w:p>
                          </w:tc>
                        </w:tr>
                        <w:tr w:rsidR="00FF47DE" w:rsidRPr="00FF47DE">
                          <w:tc>
                            <w:tcPr>
                              <w:tcW w:w="0" w:type="auto"/>
                              <w:tcMar>
                                <w:top w:w="300" w:type="dxa"/>
                                <w:left w:w="150" w:type="dxa"/>
                                <w:bottom w:w="0" w:type="dxa"/>
                                <w:right w:w="150" w:type="dxa"/>
                              </w:tcMar>
                              <w:vAlign w:val="center"/>
                            </w:tcPr>
                            <w:p w:rsidR="00FF47DE" w:rsidRPr="00FF47DE" w:rsidRDefault="00FF47DE" w:rsidP="00FF47DE">
                              <w:pPr>
                                <w:spacing w:after="0" w:line="240" w:lineRule="auto"/>
                                <w:jc w:val="center"/>
                                <w:rPr>
                                  <w:rFonts w:ascii="Verdana" w:eastAsia="Times New Roman" w:hAnsi="Verdana" w:cs="Times New Roman"/>
                                  <w:b/>
                                  <w:color w:val="000000"/>
                                  <w:sz w:val="20"/>
                                  <w:szCs w:val="20"/>
                                  <w:lang w:eastAsia="tr-TR"/>
                                </w:rPr>
                              </w:pPr>
                              <w:r w:rsidRPr="00FF47DE">
                                <w:rPr>
                                  <w:rFonts w:ascii="Verdana" w:eastAsia="Times New Roman" w:hAnsi="Verdana" w:cs="Times New Roman"/>
                                  <w:b/>
                                  <w:color w:val="000000"/>
                                  <w:sz w:val="20"/>
                                  <w:szCs w:val="20"/>
                                  <w:lang w:eastAsia="tr-TR"/>
                                </w:rPr>
                                <w:t>T.C.</w:t>
                              </w:r>
                            </w:p>
                            <w:p w:rsidR="00FF47DE" w:rsidRPr="00FF47DE" w:rsidRDefault="00FF47DE" w:rsidP="00FF47DE">
                              <w:pPr>
                                <w:spacing w:after="0" w:line="240" w:lineRule="auto"/>
                                <w:jc w:val="center"/>
                                <w:rPr>
                                  <w:rFonts w:ascii="Verdana" w:eastAsia="Times New Roman" w:hAnsi="Verdana" w:cs="Times New Roman"/>
                                  <w:b/>
                                  <w:color w:val="000000"/>
                                  <w:sz w:val="20"/>
                                  <w:szCs w:val="20"/>
                                  <w:lang w:eastAsia="tr-TR"/>
                                </w:rPr>
                              </w:pPr>
                              <w:r w:rsidRPr="00FF47DE">
                                <w:rPr>
                                  <w:rFonts w:ascii="Verdana" w:eastAsia="Times New Roman" w:hAnsi="Verdana" w:cs="Times New Roman"/>
                                  <w:b/>
                                  <w:color w:val="000000"/>
                                  <w:sz w:val="20"/>
                                  <w:szCs w:val="20"/>
                                  <w:lang w:eastAsia="tr-TR"/>
                                </w:rPr>
                                <w:t>GÜMRÜK VE TİCARET BAKANLIĞI</w:t>
                              </w:r>
                            </w:p>
                            <w:p w:rsidR="00FF47DE" w:rsidRPr="00FF47DE" w:rsidRDefault="00FF47DE" w:rsidP="00FF47DE">
                              <w:pPr>
                                <w:spacing w:after="0" w:line="240" w:lineRule="auto"/>
                                <w:jc w:val="center"/>
                                <w:rPr>
                                  <w:rFonts w:ascii="Verdana" w:eastAsia="Times New Roman" w:hAnsi="Verdana" w:cs="Times New Roman"/>
                                  <w:b/>
                                  <w:color w:val="000000"/>
                                  <w:sz w:val="20"/>
                                  <w:szCs w:val="20"/>
                                  <w:lang w:eastAsia="tr-TR"/>
                                </w:rPr>
                              </w:pPr>
                              <w:r w:rsidRPr="00FF47DE">
                                <w:rPr>
                                  <w:rFonts w:ascii="Verdana" w:eastAsia="Times New Roman" w:hAnsi="Verdana" w:cs="Times New Roman"/>
                                  <w:b/>
                                  <w:color w:val="000000"/>
                                  <w:sz w:val="20"/>
                                  <w:szCs w:val="20"/>
                                  <w:lang w:eastAsia="tr-TR"/>
                                </w:rPr>
                                <w:t>Gümrükler Genel Müdürlüğü</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roofErr w:type="gramStart"/>
                              <w:r w:rsidRPr="00FF47DE">
                                <w:rPr>
                                  <w:rFonts w:ascii="Verdana" w:eastAsia="Times New Roman" w:hAnsi="Verdana" w:cs="Times New Roman"/>
                                  <w:color w:val="000000"/>
                                  <w:sz w:val="20"/>
                                  <w:szCs w:val="20"/>
                                  <w:lang w:eastAsia="tr-TR"/>
                                </w:rPr>
                                <w:t>Sayı : 41208501</w:t>
                              </w:r>
                              <w:proofErr w:type="gramEnd"/>
                              <w:r w:rsidRPr="00FF47DE">
                                <w:rPr>
                                  <w:rFonts w:ascii="Verdana" w:eastAsia="Times New Roman" w:hAnsi="Verdana" w:cs="Times New Roman"/>
                                  <w:color w:val="000000"/>
                                  <w:sz w:val="20"/>
                                  <w:szCs w:val="20"/>
                                  <w:lang w:eastAsia="tr-TR"/>
                                </w:rPr>
                                <w:t>-132.10.01.03</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roofErr w:type="gramStart"/>
                              <w:r w:rsidRPr="00FF47DE">
                                <w:rPr>
                                  <w:rFonts w:ascii="Verdana" w:eastAsia="Times New Roman" w:hAnsi="Verdana" w:cs="Times New Roman"/>
                                  <w:color w:val="000000"/>
                                  <w:sz w:val="20"/>
                                  <w:szCs w:val="20"/>
                                  <w:lang w:eastAsia="tr-TR"/>
                                </w:rPr>
                                <w:t xml:space="preserve">Konu : </w:t>
                              </w:r>
                              <w:bookmarkStart w:id="0" w:name="_GoBack"/>
                              <w:r w:rsidRPr="00FF47DE">
                                <w:rPr>
                                  <w:rFonts w:ascii="Verdana" w:eastAsia="Times New Roman" w:hAnsi="Verdana" w:cs="Times New Roman"/>
                                  <w:color w:val="000000"/>
                                  <w:sz w:val="20"/>
                                  <w:szCs w:val="20"/>
                                  <w:lang w:eastAsia="tr-TR"/>
                                </w:rPr>
                                <w:t>DİİB</w:t>
                              </w:r>
                              <w:proofErr w:type="gramEnd"/>
                              <w:r w:rsidRPr="00FF47DE">
                                <w:rPr>
                                  <w:rFonts w:ascii="Verdana" w:eastAsia="Times New Roman" w:hAnsi="Verdana" w:cs="Times New Roman"/>
                                  <w:color w:val="000000"/>
                                  <w:sz w:val="20"/>
                                  <w:szCs w:val="20"/>
                                  <w:lang w:eastAsia="tr-TR"/>
                                </w:rPr>
                                <w:t xml:space="preserve"> </w:t>
                              </w:r>
                              <w:proofErr w:type="spellStart"/>
                              <w:r w:rsidRPr="00FF47DE">
                                <w:rPr>
                                  <w:rFonts w:ascii="Verdana" w:eastAsia="Times New Roman" w:hAnsi="Verdana" w:cs="Times New Roman"/>
                                  <w:color w:val="000000"/>
                                  <w:sz w:val="20"/>
                                  <w:szCs w:val="20"/>
                                  <w:lang w:eastAsia="tr-TR"/>
                                </w:rPr>
                                <w:t>Re’sen</w:t>
                              </w:r>
                              <w:proofErr w:type="spellEnd"/>
                              <w:r w:rsidRPr="00FF47DE">
                                <w:rPr>
                                  <w:rFonts w:ascii="Verdana" w:eastAsia="Times New Roman" w:hAnsi="Verdana" w:cs="Times New Roman"/>
                                  <w:color w:val="000000"/>
                                  <w:sz w:val="20"/>
                                  <w:szCs w:val="20"/>
                                  <w:lang w:eastAsia="tr-TR"/>
                                </w:rPr>
                                <w:t xml:space="preserve"> Kapatmada Uygulanacak Mevzuat</w:t>
                              </w:r>
                              <w:bookmarkEnd w:id="0"/>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p w:rsidR="00FF47DE" w:rsidRPr="00FF47DE" w:rsidRDefault="00FF47DE" w:rsidP="00FF47DE">
                              <w:pPr>
                                <w:spacing w:after="0" w:line="240" w:lineRule="auto"/>
                                <w:jc w:val="center"/>
                                <w:rPr>
                                  <w:rFonts w:ascii="Verdana" w:eastAsia="Times New Roman" w:hAnsi="Verdana" w:cs="Times New Roman"/>
                                  <w:b/>
                                  <w:color w:val="000000"/>
                                  <w:sz w:val="20"/>
                                  <w:szCs w:val="20"/>
                                  <w:lang w:eastAsia="tr-TR"/>
                                </w:rPr>
                              </w:pPr>
                              <w:r w:rsidRPr="00FF47DE">
                                <w:rPr>
                                  <w:rFonts w:ascii="Verdana" w:eastAsia="Times New Roman" w:hAnsi="Verdana" w:cs="Times New Roman"/>
                                  <w:b/>
                                  <w:color w:val="000000"/>
                                  <w:sz w:val="20"/>
                                  <w:szCs w:val="20"/>
                                  <w:lang w:eastAsia="tr-TR"/>
                                </w:rPr>
                                <w:t>01.07.2016/17182312</w:t>
                              </w:r>
                            </w:p>
                            <w:p w:rsidR="00FF47DE" w:rsidRPr="00FF47DE" w:rsidRDefault="00FF47DE" w:rsidP="00FF47DE">
                              <w:pPr>
                                <w:spacing w:after="0" w:line="240" w:lineRule="auto"/>
                                <w:jc w:val="center"/>
                                <w:rPr>
                                  <w:rFonts w:ascii="Verdana" w:eastAsia="Times New Roman" w:hAnsi="Verdana" w:cs="Times New Roman"/>
                                  <w:b/>
                                  <w:color w:val="000000"/>
                                  <w:sz w:val="20"/>
                                  <w:szCs w:val="20"/>
                                  <w:lang w:eastAsia="tr-TR"/>
                                </w:rPr>
                              </w:pPr>
                              <w:r w:rsidRPr="00FF47DE">
                                <w:rPr>
                                  <w:rFonts w:ascii="Verdana" w:eastAsia="Times New Roman" w:hAnsi="Verdana" w:cs="Times New Roman"/>
                                  <w:b/>
                                  <w:color w:val="000000"/>
                                  <w:sz w:val="20"/>
                                  <w:szCs w:val="20"/>
                                  <w:lang w:eastAsia="tr-TR"/>
                                </w:rPr>
                                <w:t>ORTA AKDENİZ GÜMRÜK VE TİCARET BÖLGE MÜDÜRLÜĞÜNE</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roofErr w:type="gramStart"/>
                              <w:r w:rsidRPr="00FF47DE">
                                <w:rPr>
                                  <w:rFonts w:ascii="Verdana" w:eastAsia="Times New Roman" w:hAnsi="Verdana" w:cs="Times New Roman"/>
                                  <w:color w:val="000000"/>
                                  <w:sz w:val="20"/>
                                  <w:szCs w:val="20"/>
                                  <w:lang w:eastAsia="tr-TR"/>
                                </w:rPr>
                                <w:t>İlgi : 28</w:t>
                              </w:r>
                              <w:proofErr w:type="gramEnd"/>
                              <w:r w:rsidRPr="00FF47DE">
                                <w:rPr>
                                  <w:rFonts w:ascii="Verdana" w:eastAsia="Times New Roman" w:hAnsi="Verdana" w:cs="Times New Roman"/>
                                  <w:color w:val="000000"/>
                                  <w:sz w:val="20"/>
                                  <w:szCs w:val="20"/>
                                  <w:lang w:eastAsia="tr-TR"/>
                                </w:rPr>
                                <w:t>.06.2016 tarihli ve 83847721-132.99/00017025877 sayılı yazınız.</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r w:rsidRPr="00FF47DE">
                                <w:rPr>
                                  <w:rFonts w:ascii="Verdana" w:eastAsia="Times New Roman" w:hAnsi="Verdana" w:cs="Times New Roman"/>
                                  <w:color w:val="000000"/>
                                  <w:sz w:val="20"/>
                                  <w:szCs w:val="20"/>
                                  <w:lang w:eastAsia="tr-TR"/>
                                </w:rPr>
                                <w:t xml:space="preserve">İlgide kayıtlı yazınızda, Mersin Gümrük Müdürlüğü'nden alınan yazıdan bahisle, 2003/D1-03753 sayılı </w:t>
                              </w:r>
                              <w:proofErr w:type="spellStart"/>
                              <w:r w:rsidRPr="00FF47DE">
                                <w:rPr>
                                  <w:rFonts w:ascii="Verdana" w:eastAsia="Times New Roman" w:hAnsi="Verdana" w:cs="Times New Roman"/>
                                  <w:color w:val="000000"/>
                                  <w:sz w:val="20"/>
                                  <w:szCs w:val="20"/>
                                  <w:lang w:eastAsia="tr-TR"/>
                                </w:rPr>
                                <w:t>DİİB'in</w:t>
                              </w:r>
                              <w:proofErr w:type="spellEnd"/>
                              <w:r w:rsidRPr="00FF47DE">
                                <w:rPr>
                                  <w:rFonts w:ascii="Verdana" w:eastAsia="Times New Roman" w:hAnsi="Verdana" w:cs="Times New Roman"/>
                                  <w:color w:val="000000"/>
                                  <w:sz w:val="20"/>
                                  <w:szCs w:val="20"/>
                                  <w:lang w:eastAsia="tr-TR"/>
                                </w:rPr>
                                <w:t xml:space="preserve"> resen kapatılması neticesinde tanzim edilecek para cezası kararının mer'i mevzuat olan 4458 sayılı Gümrük Kanunu'nun 238 inci maddesinin birinci fıkrası çerçevesinde eşyanın gümrüklenmiş değerinin 2 katı tutarında mı, yoksa Ekonomi Bakanlığı Marmara Bölge Müdürlüğü'nün 28.07.2015 tarih ve 22612 sayılı yazısında yer verilen "</w:t>
                              </w:r>
                              <w:proofErr w:type="gramStart"/>
                              <w:r w:rsidRPr="00FF47DE">
                                <w:rPr>
                                  <w:rFonts w:ascii="Verdana" w:eastAsia="Times New Roman" w:hAnsi="Verdana" w:cs="Times New Roman"/>
                                  <w:color w:val="000000"/>
                                  <w:sz w:val="20"/>
                                  <w:szCs w:val="20"/>
                                  <w:lang w:eastAsia="tr-TR"/>
                                </w:rPr>
                                <w:t>Dahilde</w:t>
                              </w:r>
                              <w:proofErr w:type="gramEnd"/>
                              <w:r w:rsidRPr="00FF47DE">
                                <w:rPr>
                                  <w:rFonts w:ascii="Verdana" w:eastAsia="Times New Roman" w:hAnsi="Verdana" w:cs="Times New Roman"/>
                                  <w:color w:val="000000"/>
                                  <w:sz w:val="20"/>
                                  <w:szCs w:val="20"/>
                                  <w:lang w:eastAsia="tr-TR"/>
                                </w:rPr>
                                <w:t xml:space="preserve"> İşleme İzin Belgesi kapsamında ithal edilen ve süresi içerisinde ihracı gerçekleştirilmeyen eşyaya ilişkin gümrük vergileri bu Tebliğin 35 inci madde hükümlerine göre tahsil edilir. Ayrıca, firmadan bu verginin 2 (iki) katı para cezası alınır. ” hüküm yönünde mi işlem tesis edileceğine ilişkin tereddüt yaşandığının ifade edildiği, Bölge Müdürlüğünüzce ise tanzim edilecek para cezası kararının mer'i mevzuat olan gümrüklenmiş değerin 2 katı tutarında olabileceğinin mütalaa edildiği ile birlikte konunun Makamca değerlendirilerek tarafınıza bildirilmesi talep edilmektedir.</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r w:rsidRPr="00FF47DE">
                                <w:rPr>
                                  <w:rFonts w:ascii="Verdana" w:eastAsia="Times New Roman" w:hAnsi="Verdana" w:cs="Times New Roman"/>
                                  <w:color w:val="000000"/>
                                  <w:sz w:val="20"/>
                                  <w:szCs w:val="20"/>
                                  <w:lang w:eastAsia="tr-TR"/>
                                </w:rPr>
                                <w:t xml:space="preserve">4458 sayılı Gümrük Kanunu'nun </w:t>
                              </w:r>
                              <w:hyperlink r:id="rId5" w:anchor="MADDE_238" w:history="1">
                                <w:r w:rsidRPr="00FF47DE">
                                  <w:rPr>
                                    <w:rFonts w:ascii="Verdana" w:eastAsia="Times New Roman" w:hAnsi="Verdana" w:cs="Times New Roman"/>
                                    <w:b/>
                                    <w:bCs/>
                                    <w:color w:val="104E83"/>
                                    <w:sz w:val="20"/>
                                    <w:szCs w:val="20"/>
                                    <w:lang w:eastAsia="tr-TR"/>
                                  </w:rPr>
                                  <w:t>238 inci</w:t>
                                </w:r>
                              </w:hyperlink>
                              <w:r w:rsidRPr="00FF47DE">
                                <w:rPr>
                                  <w:rFonts w:ascii="Verdana" w:eastAsia="Times New Roman" w:hAnsi="Verdana" w:cs="Times New Roman"/>
                                  <w:color w:val="000000"/>
                                  <w:sz w:val="20"/>
                                  <w:szCs w:val="20"/>
                                  <w:lang w:eastAsia="tr-TR"/>
                                </w:rPr>
                                <w:t xml:space="preserve"> maddesi uyarınca işlem tesisinde, anılan Kanun maddesinin 6455 sayılı Kanun ile getirilen değişiklikten önceki hali mi yoksa bu değişiklikten sonraki hükmü uyarınca mı işlem tesis edileceği kararında, gümrük yükümlülüğünün doğduğu tarihin, bir diğer deyişle </w:t>
                              </w:r>
                              <w:proofErr w:type="gramStart"/>
                              <w:r w:rsidRPr="00FF47DE">
                                <w:rPr>
                                  <w:rFonts w:ascii="Verdana" w:eastAsia="Times New Roman" w:hAnsi="Verdana" w:cs="Times New Roman"/>
                                  <w:color w:val="000000"/>
                                  <w:sz w:val="20"/>
                                  <w:szCs w:val="20"/>
                                  <w:lang w:eastAsia="tr-TR"/>
                                </w:rPr>
                                <w:t>dahilde</w:t>
                              </w:r>
                              <w:proofErr w:type="gramEnd"/>
                              <w:r w:rsidRPr="00FF47DE">
                                <w:rPr>
                                  <w:rFonts w:ascii="Verdana" w:eastAsia="Times New Roman" w:hAnsi="Verdana" w:cs="Times New Roman"/>
                                  <w:color w:val="000000"/>
                                  <w:sz w:val="20"/>
                                  <w:szCs w:val="20"/>
                                  <w:lang w:eastAsia="tr-TR"/>
                                </w:rPr>
                                <w:t xml:space="preserve"> işleme rejiminin ihlal edilme tarihinin esas alınması gerekmektedir. Diğer taraftan, 6455 sayılı Kanun ile getirilen hükümlerin uygulanması noktasında 21.08.2013 tarih ve </w:t>
                              </w:r>
                              <w:hyperlink r:id="rId6" w:history="1">
                                <w:r w:rsidRPr="00FF47DE">
                                  <w:rPr>
                                    <w:rFonts w:ascii="Verdana" w:eastAsia="Times New Roman" w:hAnsi="Verdana" w:cs="Times New Roman"/>
                                    <w:b/>
                                    <w:bCs/>
                                    <w:color w:val="104E83"/>
                                    <w:sz w:val="20"/>
                                    <w:szCs w:val="20"/>
                                    <w:lang w:eastAsia="tr-TR"/>
                                  </w:rPr>
                                  <w:t>2013/42</w:t>
                                </w:r>
                              </w:hyperlink>
                              <w:r w:rsidRPr="00FF47DE">
                                <w:rPr>
                                  <w:rFonts w:ascii="Verdana" w:eastAsia="Times New Roman" w:hAnsi="Verdana" w:cs="Times New Roman"/>
                                  <w:color w:val="000000"/>
                                  <w:sz w:val="20"/>
                                  <w:szCs w:val="20"/>
                                  <w:lang w:eastAsia="tr-TR"/>
                                </w:rPr>
                                <w:t xml:space="preserve"> sayılı Genelge çıkartılmıştır.</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r w:rsidRPr="00FF47DE">
                                <w:rPr>
                                  <w:rFonts w:ascii="Verdana" w:eastAsia="Times New Roman" w:hAnsi="Verdana" w:cs="Times New Roman"/>
                                  <w:color w:val="000000"/>
                                  <w:sz w:val="20"/>
                                  <w:szCs w:val="20"/>
                                  <w:lang w:eastAsia="tr-TR"/>
                                </w:rPr>
                                <w:t>Bilgi ve gereğini rica ederim.</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p w:rsidR="00FF47DE" w:rsidRPr="00FF47DE" w:rsidRDefault="00FF47DE" w:rsidP="00FF47DE">
                              <w:pPr>
                                <w:spacing w:after="0" w:line="240" w:lineRule="auto"/>
                                <w:jc w:val="right"/>
                                <w:rPr>
                                  <w:rFonts w:ascii="Verdana" w:eastAsia="Times New Roman" w:hAnsi="Verdana" w:cs="Times New Roman"/>
                                  <w:color w:val="000000"/>
                                  <w:sz w:val="20"/>
                                  <w:szCs w:val="20"/>
                                  <w:lang w:eastAsia="tr-TR"/>
                                </w:rPr>
                              </w:pPr>
                              <w:r w:rsidRPr="00FF47DE">
                                <w:rPr>
                                  <w:rFonts w:ascii="Verdana" w:eastAsia="Times New Roman" w:hAnsi="Verdana" w:cs="Times New Roman"/>
                                  <w:color w:val="000000"/>
                                  <w:sz w:val="20"/>
                                  <w:szCs w:val="20"/>
                                  <w:lang w:eastAsia="tr-TR"/>
                                </w:rPr>
                                <w:t>Hüseyin Sadi ÇETİNTAŞ</w:t>
                              </w:r>
                            </w:p>
                            <w:p w:rsidR="00FF47DE" w:rsidRPr="00FF47DE" w:rsidRDefault="00FF47DE" w:rsidP="00FF47DE">
                              <w:pPr>
                                <w:spacing w:after="0" w:line="240" w:lineRule="auto"/>
                                <w:jc w:val="right"/>
                                <w:rPr>
                                  <w:rFonts w:ascii="Verdana" w:eastAsia="Times New Roman" w:hAnsi="Verdana" w:cs="Times New Roman"/>
                                  <w:color w:val="000000"/>
                                  <w:sz w:val="20"/>
                                  <w:szCs w:val="20"/>
                                  <w:lang w:eastAsia="tr-TR"/>
                                </w:rPr>
                              </w:pPr>
                              <w:r w:rsidRPr="00FF47DE">
                                <w:rPr>
                                  <w:rFonts w:ascii="Verdana" w:eastAsia="Times New Roman" w:hAnsi="Verdana" w:cs="Times New Roman"/>
                                  <w:color w:val="000000"/>
                                  <w:sz w:val="20"/>
                                  <w:szCs w:val="20"/>
                                  <w:lang w:eastAsia="tr-TR"/>
                                </w:rPr>
                                <w:t>Bakan a.</w:t>
                              </w:r>
                            </w:p>
                            <w:p w:rsidR="00FF47DE" w:rsidRPr="00FF47DE" w:rsidRDefault="00FF47DE" w:rsidP="00FF47DE">
                              <w:pPr>
                                <w:spacing w:after="0" w:line="240" w:lineRule="auto"/>
                                <w:jc w:val="right"/>
                                <w:rPr>
                                  <w:rFonts w:ascii="Verdana" w:eastAsia="Times New Roman" w:hAnsi="Verdana" w:cs="Times New Roman"/>
                                  <w:color w:val="000000"/>
                                  <w:sz w:val="20"/>
                                  <w:szCs w:val="20"/>
                                  <w:lang w:eastAsia="tr-TR"/>
                                </w:rPr>
                              </w:pPr>
                              <w:r w:rsidRPr="00FF47DE">
                                <w:rPr>
                                  <w:rFonts w:ascii="Verdana" w:eastAsia="Times New Roman" w:hAnsi="Verdana" w:cs="Times New Roman"/>
                                  <w:color w:val="000000"/>
                                  <w:sz w:val="20"/>
                                  <w:szCs w:val="20"/>
                                  <w:lang w:eastAsia="tr-TR"/>
                                </w:rPr>
                                <w:t>Daire Başkanı</w:t>
                              </w:r>
                            </w:p>
                            <w:p w:rsidR="00FF47DE" w:rsidRPr="00FF47DE" w:rsidRDefault="00FF47DE" w:rsidP="00FF47DE">
                              <w:pPr>
                                <w:spacing w:after="0" w:line="240" w:lineRule="auto"/>
                                <w:rPr>
                                  <w:rFonts w:ascii="Verdana" w:eastAsia="Times New Roman" w:hAnsi="Verdana" w:cs="Times New Roman"/>
                                  <w:color w:val="000000"/>
                                  <w:sz w:val="20"/>
                                  <w:szCs w:val="20"/>
                                  <w:lang w:eastAsia="tr-TR"/>
                                </w:rPr>
                              </w:pPr>
                            </w:p>
                          </w:tc>
                        </w:tr>
                      </w:tbl>
                      <w:p w:rsidR="00FF47DE" w:rsidRPr="00FF47DE" w:rsidRDefault="00FF47DE" w:rsidP="00FF47DE">
                        <w:pPr>
                          <w:spacing w:after="0" w:line="240" w:lineRule="auto"/>
                          <w:rPr>
                            <w:rFonts w:ascii="Verdana" w:eastAsia="Times New Roman" w:hAnsi="Verdana" w:cs="Times New Roman"/>
                            <w:color w:val="FFFFFF"/>
                            <w:sz w:val="18"/>
                            <w:szCs w:val="18"/>
                            <w:lang w:eastAsia="tr-TR"/>
                          </w:rPr>
                        </w:pPr>
                      </w:p>
                    </w:tc>
                  </w:tr>
                  <w:tr w:rsidR="00FF47DE" w:rsidRPr="00FF47DE">
                    <w:trPr>
                      <w:trHeight w:val="180"/>
                      <w:tblCellSpacing w:w="0" w:type="dxa"/>
                      <w:hidden/>
                    </w:trPr>
                    <w:tc>
                      <w:tcPr>
                        <w:tcW w:w="0" w:type="auto"/>
                        <w:shd w:val="clear" w:color="auto" w:fill="104E83"/>
                        <w:hideMark/>
                      </w:tcPr>
                      <w:p w:rsidR="00FF47DE" w:rsidRPr="00FF47DE" w:rsidRDefault="00FF47DE" w:rsidP="00FF47DE">
                        <w:pPr>
                          <w:spacing w:after="0" w:line="240" w:lineRule="auto"/>
                          <w:rPr>
                            <w:rFonts w:ascii="Verdana" w:eastAsia="Times New Roman" w:hAnsi="Verdana" w:cs="Times New Roman"/>
                            <w:vanish/>
                            <w:color w:val="FFFFFF"/>
                            <w:sz w:val="18"/>
                            <w:szCs w:val="18"/>
                            <w:lang w:eastAsia="tr-TR"/>
                          </w:rPr>
                        </w:pPr>
                        <w:r w:rsidRPr="00FF47DE">
                          <w:rPr>
                            <w:rFonts w:ascii="Verdana" w:eastAsia="Times New Roman" w:hAnsi="Verdana" w:cs="Times New Roman"/>
                            <w:vanish/>
                            <w:color w:val="FFFFFF"/>
                            <w:sz w:val="18"/>
                            <w:szCs w:val="18"/>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7" o:title=""/>
                            </v:shape>
                            <w:control r:id="rId8" w:name="DefaultOcxName" w:shapeid="_x0000_i1038"/>
                          </w:object>
                        </w:r>
                        <w:r w:rsidRPr="00FF47DE">
                          <w:rPr>
                            <w:rFonts w:ascii="Verdana" w:eastAsia="Times New Roman" w:hAnsi="Verdana" w:cs="Times New Roman"/>
                            <w:vanish/>
                            <w:color w:val="FFFFFF"/>
                            <w:sz w:val="18"/>
                            <w:szCs w:val="18"/>
                            <w:lang w:eastAsia="tr-TR"/>
                          </w:rPr>
                          <w:t>  İlgili Mevzuatları Göster</w:t>
                        </w:r>
                      </w:p>
                    </w:tc>
                  </w:tr>
                  <w:tr w:rsidR="00FF47DE" w:rsidRPr="00FF47DE">
                    <w:trPr>
                      <w:trHeight w:val="18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FF47DE" w:rsidRPr="00FF47DE">
                          <w:tc>
                            <w:tcPr>
                              <w:tcW w:w="0" w:type="auto"/>
                              <w:vAlign w:val="center"/>
                              <w:hideMark/>
                            </w:tcPr>
                            <w:p w:rsidR="00FF47DE" w:rsidRPr="00FF47DE" w:rsidRDefault="00FF47DE" w:rsidP="00FF47DE">
                              <w:pPr>
                                <w:spacing w:after="0" w:line="240" w:lineRule="auto"/>
                                <w:rPr>
                                  <w:rFonts w:ascii="Times New Roman" w:eastAsia="Times New Roman" w:hAnsi="Times New Roman" w:cs="Times New Roman"/>
                                  <w:sz w:val="24"/>
                                  <w:szCs w:val="24"/>
                                  <w:lang w:eastAsia="tr-TR"/>
                                </w:rPr>
                              </w:pPr>
                            </w:p>
                          </w:tc>
                        </w:tr>
                      </w:tbl>
                      <w:p w:rsidR="00FF47DE" w:rsidRPr="00FF47DE" w:rsidRDefault="00FF47DE" w:rsidP="00FF47DE">
                        <w:pPr>
                          <w:spacing w:after="0" w:line="240" w:lineRule="auto"/>
                          <w:rPr>
                            <w:rFonts w:ascii="Verdana" w:eastAsia="Times New Roman" w:hAnsi="Verdana" w:cs="Times New Roman"/>
                            <w:vanish/>
                            <w:color w:val="7AA6D3"/>
                            <w:sz w:val="18"/>
                            <w:szCs w:val="18"/>
                            <w:lang w:eastAsia="tr-TR"/>
                          </w:rPr>
                        </w:pPr>
                      </w:p>
                    </w:tc>
                  </w:tr>
                  <w:tr w:rsidR="00FF47DE" w:rsidRPr="00FF47DE">
                    <w:trPr>
                      <w:trHeight w:val="180"/>
                      <w:tblCellSpacing w:w="0" w:type="dxa"/>
                      <w:hidden/>
                    </w:trPr>
                    <w:tc>
                      <w:tcPr>
                        <w:tcW w:w="0" w:type="auto"/>
                        <w:shd w:val="clear" w:color="auto" w:fill="104E83"/>
                        <w:hideMark/>
                      </w:tcPr>
                      <w:p w:rsidR="00FF47DE" w:rsidRPr="00FF47DE" w:rsidRDefault="00FF47DE" w:rsidP="00FF47DE">
                        <w:pPr>
                          <w:spacing w:after="0" w:line="240" w:lineRule="auto"/>
                          <w:rPr>
                            <w:rFonts w:ascii="Verdana" w:eastAsia="Times New Roman" w:hAnsi="Verdana" w:cs="Times New Roman"/>
                            <w:vanish/>
                            <w:color w:val="FFFFFF"/>
                            <w:sz w:val="18"/>
                            <w:szCs w:val="18"/>
                            <w:lang w:eastAsia="tr-TR"/>
                          </w:rPr>
                        </w:pPr>
                        <w:r w:rsidRPr="00FF47DE">
                          <w:rPr>
                            <w:rFonts w:ascii="Verdana" w:eastAsia="Times New Roman" w:hAnsi="Verdana" w:cs="Times New Roman"/>
                            <w:vanish/>
                            <w:color w:val="FFFFFF"/>
                            <w:sz w:val="18"/>
                            <w:szCs w:val="18"/>
                            <w:lang w:eastAsia="tr-TR"/>
                          </w:rPr>
                          <w:object w:dxaOrig="1440" w:dyaOrig="1440">
                            <v:shape id="_x0000_i1037" type="#_x0000_t75" style="width:20.25pt;height:18pt" o:ole="">
                              <v:imagedata r:id="rId7" o:title=""/>
                            </v:shape>
                            <w:control r:id="rId9" w:name="DefaultOcxName1" w:shapeid="_x0000_i1037"/>
                          </w:object>
                        </w:r>
                        <w:r w:rsidRPr="00FF47DE">
                          <w:rPr>
                            <w:rFonts w:ascii="Verdana" w:eastAsia="Times New Roman" w:hAnsi="Verdana" w:cs="Times New Roman"/>
                            <w:vanish/>
                            <w:color w:val="FFFFFF"/>
                            <w:sz w:val="18"/>
                            <w:szCs w:val="18"/>
                            <w:lang w:eastAsia="tr-TR"/>
                          </w:rPr>
                          <w:t>Bu Mevzuatın Yürürlükten Kaldırdığı/Değiştirdiği Mevzuatları Göster</w:t>
                        </w:r>
                      </w:p>
                    </w:tc>
                  </w:tr>
                  <w:tr w:rsidR="00FF47DE" w:rsidRPr="00FF47DE">
                    <w:trPr>
                      <w:trHeight w:val="150"/>
                      <w:tblCellSpacing w:w="0" w:type="dxa"/>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FF47DE" w:rsidRPr="00FF47DE">
                          <w:tc>
                            <w:tcPr>
                              <w:tcW w:w="0" w:type="auto"/>
                              <w:vAlign w:val="center"/>
                              <w:hideMark/>
                            </w:tcPr>
                            <w:p w:rsidR="00FF47DE" w:rsidRPr="00FF47DE" w:rsidRDefault="00FF47DE" w:rsidP="00FF47DE">
                              <w:pPr>
                                <w:spacing w:after="0" w:line="240" w:lineRule="auto"/>
                                <w:rPr>
                                  <w:rFonts w:ascii="Times New Roman" w:eastAsia="Times New Roman" w:hAnsi="Times New Roman" w:cs="Times New Roman"/>
                                  <w:sz w:val="24"/>
                                  <w:szCs w:val="24"/>
                                  <w:lang w:eastAsia="tr-TR"/>
                                </w:rPr>
                              </w:pPr>
                            </w:p>
                          </w:tc>
                        </w:tr>
                      </w:tbl>
                      <w:p w:rsidR="00FF47DE" w:rsidRPr="00FF47DE" w:rsidRDefault="00FF47DE" w:rsidP="00FF47DE">
                        <w:pPr>
                          <w:spacing w:after="0" w:line="150" w:lineRule="atLeast"/>
                          <w:rPr>
                            <w:rFonts w:ascii="Verdana" w:eastAsia="Times New Roman" w:hAnsi="Verdana" w:cs="Times New Roman"/>
                            <w:vanish/>
                            <w:color w:val="7AA6D3"/>
                            <w:sz w:val="18"/>
                            <w:szCs w:val="18"/>
                            <w:lang w:eastAsia="tr-TR"/>
                          </w:rPr>
                        </w:pPr>
                      </w:p>
                    </w:tc>
                  </w:tr>
                </w:tbl>
                <w:p w:rsidR="00FF47DE" w:rsidRPr="00FF47DE" w:rsidRDefault="00FF47DE" w:rsidP="00FF47DE">
                  <w:pPr>
                    <w:spacing w:after="0" w:line="240" w:lineRule="auto"/>
                    <w:rPr>
                      <w:rFonts w:ascii="Times New Roman" w:eastAsia="Times New Roman" w:hAnsi="Times New Roman" w:cs="Times New Roman"/>
                      <w:sz w:val="24"/>
                      <w:szCs w:val="24"/>
                      <w:lang w:eastAsia="tr-TR"/>
                    </w:rPr>
                  </w:pPr>
                </w:p>
              </w:tc>
            </w:tr>
          </w:tbl>
          <w:p w:rsidR="00FF47DE" w:rsidRPr="00FF47DE" w:rsidRDefault="00FF47DE" w:rsidP="00FF47DE">
            <w:pPr>
              <w:spacing w:after="0" w:line="240" w:lineRule="auto"/>
              <w:rPr>
                <w:rFonts w:ascii="Times New Roman" w:eastAsia="Times New Roman" w:hAnsi="Times New Roman" w:cs="Times New Roman"/>
                <w:sz w:val="24"/>
                <w:szCs w:val="24"/>
                <w:lang w:eastAsia="tr-TR"/>
              </w:rPr>
            </w:pPr>
          </w:p>
        </w:tc>
      </w:tr>
    </w:tbl>
    <w:p w:rsidR="00FF47DE" w:rsidRPr="00FF47DE" w:rsidRDefault="00FF47DE" w:rsidP="00FF47DE">
      <w:pPr>
        <w:spacing w:after="0" w:line="240" w:lineRule="auto"/>
        <w:rPr>
          <w:rFonts w:ascii="Times New Roman" w:eastAsia="Times New Roman" w:hAnsi="Times New Roman" w:cs="Times New Roman"/>
          <w:sz w:val="24"/>
          <w:szCs w:val="24"/>
          <w:lang w:eastAsia="tr-TR"/>
        </w:rPr>
      </w:pPr>
      <w:r w:rsidRPr="00FF47DE">
        <w:rPr>
          <w:rFonts w:ascii="Times New Roman" w:eastAsia="Times New Roman" w:hAnsi="Times New Roman" w:cs="Times New Roman"/>
          <w:sz w:val="24"/>
          <w:szCs w:val="24"/>
          <w:lang w:eastAsia="tr-TR"/>
        </w:rPr>
        <w:t xml:space="preserve">    </w:t>
      </w:r>
    </w:p>
    <w:p w:rsidR="00FF47DE" w:rsidRPr="00FF47DE" w:rsidRDefault="00FF47DE" w:rsidP="00FF47DE">
      <w:pPr>
        <w:spacing w:after="0" w:line="240" w:lineRule="auto"/>
        <w:rPr>
          <w:rFonts w:ascii="Times New Roman" w:eastAsia="Times New Roman" w:hAnsi="Times New Roman" w:cs="Times New Roman"/>
          <w:vanish/>
          <w:sz w:val="24"/>
          <w:szCs w:val="24"/>
          <w:lang w:eastAsia="tr-TR"/>
        </w:rPr>
      </w:pPr>
      <w:r w:rsidRPr="00FF47DE">
        <w:rPr>
          <w:rFonts w:ascii="Times New Roman" w:eastAsia="Times New Roman" w:hAnsi="Times New Roman" w:cs="Times New Roman"/>
          <w:vanish/>
          <w:sz w:val="24"/>
          <w:szCs w:val="24"/>
          <w:lang w:eastAsia="tr-TR"/>
        </w:rPr>
        <w:object w:dxaOrig="1440" w:dyaOrig="1440">
          <v:shape id="_x0000_i1036" type="#_x0000_t75" style="width:36pt;height:22.5pt" o:ole="">
            <v:imagedata r:id="rId10" o:title=""/>
          </v:shape>
          <w:control r:id="rId11" w:name="DefaultOcxName2" w:shapeid="_x0000_i1036"/>
        </w:object>
      </w:r>
      <w:r w:rsidRPr="00FF47DE">
        <w:rPr>
          <w:rFonts w:ascii="Times New Roman" w:eastAsia="Times New Roman" w:hAnsi="Times New Roman" w:cs="Times New Roman"/>
          <w:vanish/>
          <w:sz w:val="24"/>
          <w:szCs w:val="24"/>
          <w:lang w:eastAsia="tr-TR"/>
        </w:rPr>
        <w:object w:dxaOrig="1440" w:dyaOrig="1440">
          <v:shape id="_x0000_i1035" type="#_x0000_t75" style="width:49.5pt;height:18pt" o:ole="">
            <v:imagedata r:id="rId12" o:title=""/>
          </v:shape>
          <w:control r:id="rId13" w:name="DefaultOcxName3" w:shapeid="_x0000_i1035"/>
        </w:object>
      </w:r>
    </w:p>
    <w:p w:rsidR="007B7F5D" w:rsidRDefault="00FF47DE" w:rsidP="00FF47DE">
      <w:r w:rsidRPr="00FF47DE">
        <w:rPr>
          <w:rFonts w:ascii="Times New Roman" w:eastAsia="Times New Roman" w:hAnsi="Times New Roman" w:cs="Times New Roman"/>
          <w:vanish/>
          <w:sz w:val="24"/>
          <w:szCs w:val="24"/>
          <w:lang w:eastAsia="tr-TR"/>
        </w:rPr>
        <w:pict/>
      </w:r>
    </w:p>
    <w:sectPr w:rsidR="007B7F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AD"/>
    <w:rsid w:val="007B7F5D"/>
    <w:rsid w:val="00857EAD"/>
    <w:rsid w:val="00FF47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745129">
      <w:bodyDiv w:val="1"/>
      <w:marLeft w:val="0"/>
      <w:marRight w:val="0"/>
      <w:marTop w:val="0"/>
      <w:marBottom w:val="0"/>
      <w:divBdr>
        <w:top w:val="none" w:sz="0" w:space="0" w:color="auto"/>
        <w:left w:val="none" w:sz="0" w:space="0" w:color="auto"/>
        <w:bottom w:val="none" w:sz="0" w:space="0" w:color="auto"/>
        <w:right w:val="none" w:sz="0" w:space="0" w:color="auto"/>
      </w:divBdr>
      <w:divsChild>
        <w:div w:id="1945961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92.168.16.4:8080/mavi/mevzuatGoster.aspx?id=27600" TargetMode="External"/><Relationship Id="rId11" Type="http://schemas.openxmlformats.org/officeDocument/2006/relationships/control" Target="activeX/activeX3.xml"/><Relationship Id="rId5" Type="http://schemas.openxmlformats.org/officeDocument/2006/relationships/hyperlink" Target="http://192.168.16.4:8080/mavi/mevzuatGoster.aspx?id=27020" TargetMode="Externa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YILMAZ – ASSET GÜMRÜK MÜŞAVİRLİĞİ / İSTANBUL</dc:creator>
  <cp:lastModifiedBy>Önal YILMAZ – ASSET GÜMRÜK MÜŞAVİRLİĞİ / İSTANBUL</cp:lastModifiedBy>
  <cp:revision>2</cp:revision>
  <dcterms:created xsi:type="dcterms:W3CDTF">2016-07-12T05:31:00Z</dcterms:created>
  <dcterms:modified xsi:type="dcterms:W3CDTF">2016-07-12T05:31:00Z</dcterms:modified>
</cp:coreProperties>
</file>