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1019" w14:textId="77777777" w:rsidR="007342E3" w:rsidRPr="007342E3" w:rsidRDefault="007342E3" w:rsidP="007342E3">
      <w:pPr>
        <w:shd w:val="clear" w:color="auto" w:fill="CCFFFF"/>
        <w:spacing w:after="0" w:line="240" w:lineRule="auto"/>
        <w:jc w:val="center"/>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T.C.</w:t>
      </w:r>
    </w:p>
    <w:p w14:paraId="560C639A" w14:textId="77777777" w:rsidR="007342E3" w:rsidRPr="007342E3" w:rsidRDefault="007342E3" w:rsidP="007342E3">
      <w:pPr>
        <w:shd w:val="clear" w:color="auto" w:fill="CCFFFF"/>
        <w:spacing w:after="0" w:line="240" w:lineRule="auto"/>
        <w:jc w:val="center"/>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D A N I Ş T A Y</w:t>
      </w:r>
    </w:p>
    <w:p w14:paraId="3455E097" w14:textId="77777777" w:rsidR="007342E3" w:rsidRPr="007342E3" w:rsidRDefault="007342E3" w:rsidP="007342E3">
      <w:pPr>
        <w:shd w:val="clear" w:color="auto" w:fill="CCFFFF"/>
        <w:spacing w:after="0" w:line="240" w:lineRule="auto"/>
        <w:jc w:val="center"/>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VERGİ DAVA DAİRELERİ KURULU</w:t>
      </w:r>
    </w:p>
    <w:p w14:paraId="5D95CBEF" w14:textId="77777777" w:rsidR="007342E3" w:rsidRPr="007342E3" w:rsidRDefault="007342E3" w:rsidP="007342E3">
      <w:pPr>
        <w:shd w:val="clear" w:color="auto" w:fill="CCFFFF"/>
        <w:spacing w:before="120" w:after="0" w:line="240" w:lineRule="auto"/>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Esas No :</w:t>
      </w:r>
      <w:r w:rsidRPr="007342E3">
        <w:rPr>
          <w:rFonts w:ascii="Times New Roman" w:eastAsia="Times New Roman" w:hAnsi="Times New Roman" w:cs="Times New Roman"/>
          <w:color w:val="000000"/>
          <w:kern w:val="0"/>
          <w:lang w:eastAsia="tr-TR"/>
          <w14:ligatures w14:val="none"/>
        </w:rPr>
        <w:t> 2024/264</w:t>
      </w:r>
    </w:p>
    <w:p w14:paraId="56BD69D0" w14:textId="77777777" w:rsidR="007342E3" w:rsidRPr="007342E3" w:rsidRDefault="007342E3" w:rsidP="007342E3">
      <w:pPr>
        <w:shd w:val="clear" w:color="auto" w:fill="CCFFFF"/>
        <w:spacing w:before="120" w:after="0" w:line="240" w:lineRule="auto"/>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Karar No :</w:t>
      </w:r>
      <w:r w:rsidRPr="007342E3">
        <w:rPr>
          <w:rFonts w:ascii="Times New Roman" w:eastAsia="Times New Roman" w:hAnsi="Times New Roman" w:cs="Times New Roman"/>
          <w:color w:val="000000"/>
          <w:kern w:val="0"/>
          <w:lang w:eastAsia="tr-TR"/>
          <w14:ligatures w14:val="none"/>
        </w:rPr>
        <w:t> 2025/291</w:t>
      </w:r>
    </w:p>
    <w:p w14:paraId="3B91302C" w14:textId="77777777" w:rsidR="007342E3" w:rsidRPr="007342E3" w:rsidRDefault="007342E3" w:rsidP="007342E3">
      <w:pPr>
        <w:shd w:val="clear" w:color="auto" w:fill="CCFFFF"/>
        <w:spacing w:before="120" w:after="0" w:line="240" w:lineRule="auto"/>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 </w:t>
      </w:r>
    </w:p>
    <w:p w14:paraId="4BF1D922" w14:textId="77777777" w:rsidR="007342E3" w:rsidRPr="007342E3" w:rsidRDefault="007342E3" w:rsidP="007342E3">
      <w:pPr>
        <w:shd w:val="clear" w:color="auto" w:fill="CCFFFF"/>
        <w:spacing w:before="120" w:after="0" w:line="240" w:lineRule="auto"/>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TEMYİZ EDEN (DAVALI) :</w:t>
      </w:r>
      <w:r w:rsidRPr="007342E3">
        <w:rPr>
          <w:rFonts w:ascii="Times New Roman" w:eastAsia="Times New Roman" w:hAnsi="Times New Roman" w:cs="Times New Roman"/>
          <w:color w:val="000000"/>
          <w:kern w:val="0"/>
          <w:lang w:eastAsia="tr-TR"/>
          <w14:ligatures w14:val="none"/>
        </w:rPr>
        <w:t> ... Bakanlığı adına ... (...) ... Müdürlüğü - ...</w:t>
      </w:r>
    </w:p>
    <w:p w14:paraId="1823BC54" w14:textId="77777777" w:rsidR="007342E3" w:rsidRPr="007342E3" w:rsidRDefault="007342E3" w:rsidP="007342E3">
      <w:pPr>
        <w:shd w:val="clear" w:color="auto" w:fill="CCFFFF"/>
        <w:spacing w:before="120" w:after="0" w:line="240" w:lineRule="auto"/>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VEKİLİ :</w:t>
      </w:r>
      <w:r w:rsidRPr="007342E3">
        <w:rPr>
          <w:rFonts w:ascii="Times New Roman" w:eastAsia="Times New Roman" w:hAnsi="Times New Roman" w:cs="Times New Roman"/>
          <w:color w:val="000000"/>
          <w:kern w:val="0"/>
          <w:lang w:eastAsia="tr-TR"/>
          <w14:ligatures w14:val="none"/>
        </w:rPr>
        <w:t>Av. ...</w:t>
      </w:r>
    </w:p>
    <w:p w14:paraId="2DFCA73A" w14:textId="77777777" w:rsidR="007342E3" w:rsidRPr="007342E3" w:rsidRDefault="007342E3" w:rsidP="007342E3">
      <w:pPr>
        <w:shd w:val="clear" w:color="auto" w:fill="CCFFFF"/>
        <w:spacing w:before="120" w:after="0" w:line="240" w:lineRule="auto"/>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KARŞI TARAF (DAVACI) :</w:t>
      </w:r>
      <w:r w:rsidRPr="007342E3">
        <w:rPr>
          <w:rFonts w:ascii="Times New Roman" w:eastAsia="Times New Roman" w:hAnsi="Times New Roman" w:cs="Times New Roman"/>
          <w:color w:val="000000"/>
          <w:kern w:val="0"/>
          <w:lang w:eastAsia="tr-TR"/>
          <w14:ligatures w14:val="none"/>
        </w:rPr>
        <w:t> ... Tekstil Sanayi ve Ticaret Limited Şirketi</w:t>
      </w:r>
    </w:p>
    <w:p w14:paraId="50A82533" w14:textId="77777777" w:rsidR="007342E3" w:rsidRPr="007342E3" w:rsidRDefault="007342E3" w:rsidP="007342E3">
      <w:pPr>
        <w:shd w:val="clear" w:color="auto" w:fill="CCFFFF"/>
        <w:spacing w:before="120" w:after="0" w:line="240" w:lineRule="auto"/>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VEKİLİ :</w:t>
      </w:r>
      <w:r w:rsidRPr="007342E3">
        <w:rPr>
          <w:rFonts w:ascii="Times New Roman" w:eastAsia="Times New Roman" w:hAnsi="Times New Roman" w:cs="Times New Roman"/>
          <w:color w:val="000000"/>
          <w:kern w:val="0"/>
          <w:lang w:eastAsia="tr-TR"/>
          <w14:ligatures w14:val="none"/>
        </w:rPr>
        <w:t>Av. ...</w:t>
      </w:r>
    </w:p>
    <w:p w14:paraId="5DA7FA28" w14:textId="77777777" w:rsidR="007342E3" w:rsidRPr="007342E3" w:rsidRDefault="007342E3" w:rsidP="007342E3">
      <w:pPr>
        <w:shd w:val="clear" w:color="auto" w:fill="CCFFFF"/>
        <w:spacing w:before="120" w:after="0" w:line="240" w:lineRule="auto"/>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İSTEMİN KONUSU : ...</w:t>
      </w:r>
      <w:r w:rsidRPr="007342E3">
        <w:rPr>
          <w:rFonts w:ascii="Times New Roman" w:eastAsia="Times New Roman" w:hAnsi="Times New Roman" w:cs="Times New Roman"/>
          <w:color w:val="000000"/>
          <w:kern w:val="0"/>
          <w:lang w:eastAsia="tr-TR"/>
          <w14:ligatures w14:val="none"/>
        </w:rPr>
        <w:t xml:space="preserve"> Vergi Mahkemesinin ...... tarih ve </w:t>
      </w:r>
      <w:proofErr w:type="gramStart"/>
      <w:r w:rsidRPr="007342E3">
        <w:rPr>
          <w:rFonts w:ascii="Times New Roman" w:eastAsia="Times New Roman" w:hAnsi="Times New Roman" w:cs="Times New Roman"/>
          <w:color w:val="000000"/>
          <w:kern w:val="0"/>
          <w:lang w:eastAsia="tr-TR"/>
          <w14:ligatures w14:val="none"/>
        </w:rPr>
        <w:t>E:...</w:t>
      </w:r>
      <w:proofErr w:type="gramEnd"/>
      <w:r w:rsidRPr="007342E3">
        <w:rPr>
          <w:rFonts w:ascii="Times New Roman" w:eastAsia="Times New Roman" w:hAnsi="Times New Roman" w:cs="Times New Roman"/>
          <w:color w:val="000000"/>
          <w:kern w:val="0"/>
          <w:lang w:eastAsia="tr-TR"/>
          <w14:ligatures w14:val="none"/>
        </w:rPr>
        <w:t xml:space="preserve">, </w:t>
      </w:r>
      <w:proofErr w:type="gramStart"/>
      <w:r w:rsidRPr="007342E3">
        <w:rPr>
          <w:rFonts w:ascii="Times New Roman" w:eastAsia="Times New Roman" w:hAnsi="Times New Roman" w:cs="Times New Roman"/>
          <w:color w:val="000000"/>
          <w:kern w:val="0"/>
          <w:lang w:eastAsia="tr-TR"/>
          <w14:ligatures w14:val="none"/>
        </w:rPr>
        <w:t>K:...</w:t>
      </w:r>
      <w:proofErr w:type="gramEnd"/>
      <w:r w:rsidRPr="007342E3">
        <w:rPr>
          <w:rFonts w:ascii="Times New Roman" w:eastAsia="Times New Roman" w:hAnsi="Times New Roman" w:cs="Times New Roman"/>
          <w:color w:val="000000"/>
          <w:kern w:val="0"/>
          <w:lang w:eastAsia="tr-TR"/>
          <w14:ligatures w14:val="none"/>
        </w:rPr>
        <w:t xml:space="preserve"> sayılı ısrar kararının temyizen incelenerek bozulması istenmektedir.</w:t>
      </w:r>
    </w:p>
    <w:p w14:paraId="1034A833" w14:textId="77777777" w:rsidR="007342E3" w:rsidRPr="007342E3" w:rsidRDefault="007342E3" w:rsidP="007342E3">
      <w:pPr>
        <w:shd w:val="clear" w:color="auto" w:fill="CCFFFF"/>
        <w:spacing w:before="120" w:after="0" w:line="240" w:lineRule="auto"/>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YARGILAMA SÜRECİ :</w:t>
      </w:r>
    </w:p>
    <w:p w14:paraId="4F2573EF"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 xml:space="preserve">Dava konusu istem: Davacı hakkında düzenlenen cevaplı rapor uyarınca </w:t>
      </w:r>
      <w:proofErr w:type="spellStart"/>
      <w:r w:rsidRPr="007342E3">
        <w:rPr>
          <w:rFonts w:ascii="Times New Roman" w:eastAsia="Times New Roman" w:hAnsi="Times New Roman" w:cs="Times New Roman"/>
          <w:color w:val="000000"/>
          <w:kern w:val="0"/>
          <w:lang w:eastAsia="tr-TR"/>
          <w14:ligatures w14:val="none"/>
        </w:rPr>
        <w:t>müeyyideli</w:t>
      </w:r>
      <w:proofErr w:type="spellEnd"/>
      <w:r w:rsidRPr="007342E3">
        <w:rPr>
          <w:rFonts w:ascii="Times New Roman" w:eastAsia="Times New Roman" w:hAnsi="Times New Roman" w:cs="Times New Roman"/>
          <w:color w:val="000000"/>
          <w:kern w:val="0"/>
          <w:lang w:eastAsia="tr-TR"/>
          <w14:ligatures w14:val="none"/>
        </w:rPr>
        <w:t xml:space="preserve"> kapatılan ... sayılı dahilde işleme izin belgesi kapsamında 2007 yılında tescil edilen muhtelif tarih ve sayılı on adet serbest dolaşıma giriş beyannamesi ile ithal edilen eşyaya ilişkin ek olarak tahakkuk ettirilen gümrük, katma değer vergisi ile kaynak kullanımını destekleme fonu payı ve </w:t>
      </w:r>
      <w:hyperlink r:id="rId4" w:tgtFrame="_blank" w:history="1">
        <w:r w:rsidRPr="007342E3">
          <w:rPr>
            <w:rFonts w:ascii="Times New Roman" w:eastAsia="Times New Roman" w:hAnsi="Times New Roman" w:cs="Times New Roman"/>
            <w:color w:val="0563C1"/>
            <w:kern w:val="0"/>
            <w:u w:val="single"/>
            <w:lang w:eastAsia="tr-TR"/>
            <w14:ligatures w14:val="none"/>
          </w:rPr>
          <w:t>4458</w:t>
        </w:r>
      </w:hyperlink>
      <w:r w:rsidRPr="007342E3">
        <w:rPr>
          <w:rFonts w:ascii="Times New Roman" w:eastAsia="Times New Roman" w:hAnsi="Times New Roman" w:cs="Times New Roman"/>
          <w:color w:val="000000"/>
          <w:kern w:val="0"/>
          <w:lang w:eastAsia="tr-TR"/>
          <w14:ligatures w14:val="none"/>
        </w:rPr>
        <w:t> sayılı Kanunu'nun </w:t>
      </w:r>
      <w:hyperlink r:id="rId5" w:anchor="MAdde238" w:tgtFrame="_blank" w:history="1">
        <w:r w:rsidRPr="007342E3">
          <w:rPr>
            <w:rFonts w:ascii="Times New Roman" w:eastAsia="Times New Roman" w:hAnsi="Times New Roman" w:cs="Times New Roman"/>
            <w:color w:val="0563C1"/>
            <w:kern w:val="0"/>
            <w:u w:val="single"/>
            <w:lang w:eastAsia="tr-TR"/>
            <w14:ligatures w14:val="none"/>
          </w:rPr>
          <w:t>238.</w:t>
        </w:r>
      </w:hyperlink>
      <w:r w:rsidRPr="007342E3">
        <w:rPr>
          <w:rFonts w:ascii="Times New Roman" w:eastAsia="Times New Roman" w:hAnsi="Times New Roman" w:cs="Times New Roman"/>
          <w:color w:val="000000"/>
          <w:kern w:val="0"/>
          <w:lang w:eastAsia="tr-TR"/>
          <w14:ligatures w14:val="none"/>
        </w:rPr>
        <w:t> maddesi uyarınca hesaplanarak karara bağlanan para cezasına vaki itirazın reddine dair işlemin iptali istemiyle dava açılmıştır.</w:t>
      </w:r>
    </w:p>
    <w:p w14:paraId="6ADD75A2"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 xml:space="preserve">Cevaplı raporun tebliğ edilmemesinin davacının savunma hakkını engellediği gerekçesine dayanan davanın kabulüne dair kararın Danıştay Yedinci Dairesinin 22/05/2019 tarih ve E:2016/5039, K:2019/3493 sayılı kararıyla bozulması üzerine bozma kararına uyan ... Vergi Mahkemesinin ......tarih ve </w:t>
      </w:r>
      <w:proofErr w:type="gramStart"/>
      <w:r w:rsidRPr="007342E3">
        <w:rPr>
          <w:rFonts w:ascii="Times New Roman" w:eastAsia="Times New Roman" w:hAnsi="Times New Roman" w:cs="Times New Roman"/>
          <w:color w:val="000000"/>
          <w:kern w:val="0"/>
          <w:lang w:eastAsia="tr-TR"/>
          <w14:ligatures w14:val="none"/>
        </w:rPr>
        <w:t>E:...</w:t>
      </w:r>
      <w:proofErr w:type="gramEnd"/>
      <w:r w:rsidRPr="007342E3">
        <w:rPr>
          <w:rFonts w:ascii="Times New Roman" w:eastAsia="Times New Roman" w:hAnsi="Times New Roman" w:cs="Times New Roman"/>
          <w:color w:val="000000"/>
          <w:kern w:val="0"/>
          <w:lang w:eastAsia="tr-TR"/>
          <w14:ligatures w14:val="none"/>
        </w:rPr>
        <w:t xml:space="preserve">, </w:t>
      </w:r>
      <w:proofErr w:type="gramStart"/>
      <w:r w:rsidRPr="007342E3">
        <w:rPr>
          <w:rFonts w:ascii="Times New Roman" w:eastAsia="Times New Roman" w:hAnsi="Times New Roman" w:cs="Times New Roman"/>
          <w:color w:val="000000"/>
          <w:kern w:val="0"/>
          <w:lang w:eastAsia="tr-TR"/>
          <w14:ligatures w14:val="none"/>
        </w:rPr>
        <w:t>K:...</w:t>
      </w:r>
      <w:proofErr w:type="gramEnd"/>
      <w:r w:rsidRPr="007342E3">
        <w:rPr>
          <w:rFonts w:ascii="Times New Roman" w:eastAsia="Times New Roman" w:hAnsi="Times New Roman" w:cs="Times New Roman"/>
          <w:color w:val="000000"/>
          <w:kern w:val="0"/>
          <w:lang w:eastAsia="tr-TR"/>
          <w14:ligatures w14:val="none"/>
        </w:rPr>
        <w:t xml:space="preserve"> sayılı kararı:</w:t>
      </w:r>
    </w:p>
    <w:p w14:paraId="4CF6B193"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hyperlink r:id="rId6" w:tgtFrame="_blank" w:history="1">
        <w:r w:rsidRPr="007342E3">
          <w:rPr>
            <w:rFonts w:ascii="Times New Roman" w:eastAsia="Times New Roman" w:hAnsi="Times New Roman" w:cs="Times New Roman"/>
            <w:color w:val="0563C1"/>
            <w:kern w:val="0"/>
            <w:u w:val="single"/>
            <w:lang w:eastAsia="tr-TR"/>
            <w14:ligatures w14:val="none"/>
          </w:rPr>
          <w:t>4458</w:t>
        </w:r>
      </w:hyperlink>
      <w:r w:rsidRPr="007342E3">
        <w:rPr>
          <w:rFonts w:ascii="Times New Roman" w:eastAsia="Times New Roman" w:hAnsi="Times New Roman" w:cs="Times New Roman"/>
          <w:color w:val="000000"/>
          <w:kern w:val="0"/>
          <w:lang w:eastAsia="tr-TR"/>
          <w14:ligatures w14:val="none"/>
        </w:rPr>
        <w:t> Sayılı Gümrük Kanunu'nun </w:t>
      </w:r>
      <w:hyperlink r:id="rId7" w:anchor="madde197" w:tgtFrame="_blank" w:history="1">
        <w:r w:rsidRPr="007342E3">
          <w:rPr>
            <w:rFonts w:ascii="Times New Roman" w:eastAsia="Times New Roman" w:hAnsi="Times New Roman" w:cs="Times New Roman"/>
            <w:color w:val="0563C1"/>
            <w:kern w:val="0"/>
            <w:u w:val="single"/>
            <w:lang w:eastAsia="tr-TR"/>
            <w14:ligatures w14:val="none"/>
          </w:rPr>
          <w:t>197.</w:t>
        </w:r>
      </w:hyperlink>
      <w:r w:rsidRPr="007342E3">
        <w:rPr>
          <w:rFonts w:ascii="Times New Roman" w:eastAsia="Times New Roman" w:hAnsi="Times New Roman" w:cs="Times New Roman"/>
          <w:color w:val="000000"/>
          <w:kern w:val="0"/>
          <w:lang w:eastAsia="tr-TR"/>
          <w14:ligatures w14:val="none"/>
        </w:rPr>
        <w:t> maddesinin (1) numaralı fıkrasının dava konusu beyannamelerin tescil edildiği tarihte yürürlükte bulunan halinde, gümrük vergilerinin, tahakkukundan hemen sonra beyanname veya beyanname yerine geçen belge üzerinde yükümlüye tebliğ edileceği, (2) numaralı fıkrasında, yapılan denetlemeler sonucunda hiç alınmadığı veya noksan alındığı belirlenen veya (1) numaralı fıkrada belirtilen şekilde tebliğ edilemeyen gümrük vergilerine ilişkin tebligatın gümrük yükümlülüğünün doğduğu tarihten itibaren üç yıl içinde yapılacağı, gümrük yükümlülüğünün doğduğu olayla ilgili olarak dava açılmasının zamanaşımını durduracağı hükme bağlanmıştır. Aynı maddenin (4) numaralı fıkrasının dava konusu beyannamelerin tescil edildiği tarihte yürürlükte bulunan şeklinde, gümrük vergileri alacakları, ceza uygulamasını gerektiren bir fiile ilişkin olması ve suçun zamanaşımının daha uzun bulunması halinde bu alacakların Türk Ceza Kanunu'ndaki dava ve ceza zamanaşımı süreleri içerisinde kovuşturulup tahsil edilebileceği hükme bağlanmıştır.</w:t>
      </w:r>
    </w:p>
    <w:p w14:paraId="2F0739A2"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Aynı Kanun'un </w:t>
      </w:r>
      <w:hyperlink r:id="rId8" w:anchor="madde181" w:tgtFrame="_blank" w:history="1">
        <w:r w:rsidRPr="007342E3">
          <w:rPr>
            <w:rFonts w:ascii="Times New Roman" w:eastAsia="Times New Roman" w:hAnsi="Times New Roman" w:cs="Times New Roman"/>
            <w:color w:val="0563C1"/>
            <w:kern w:val="0"/>
            <w:u w:val="single"/>
            <w:lang w:eastAsia="tr-TR"/>
            <w14:ligatures w14:val="none"/>
          </w:rPr>
          <w:t>181.</w:t>
        </w:r>
      </w:hyperlink>
      <w:r w:rsidRPr="007342E3">
        <w:rPr>
          <w:rFonts w:ascii="Times New Roman" w:eastAsia="Times New Roman" w:hAnsi="Times New Roman" w:cs="Times New Roman"/>
          <w:color w:val="000000"/>
          <w:kern w:val="0"/>
          <w:lang w:eastAsia="tr-TR"/>
          <w14:ligatures w14:val="none"/>
        </w:rPr>
        <w:t> maddesinin (1) numaralı fıkrasının (a) bendinde, ithalatta gümrük yükümlülüğünün ithalat vergilerine tabi eşyanın serbest dolaşıma girmesi için verilecek beyannamenin tescil tarihinde başlayacağı hüküm altına alınmıştır.</w:t>
      </w:r>
    </w:p>
    <w:p w14:paraId="433ABE8A"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 xml:space="preserve">Dosyasının incelenmesinden, davacı şirket hakkında... tarih ve... sayılı Cevaplı </w:t>
      </w:r>
      <w:proofErr w:type="spellStart"/>
      <w:r w:rsidRPr="007342E3">
        <w:rPr>
          <w:rFonts w:ascii="Times New Roman" w:eastAsia="Times New Roman" w:hAnsi="Times New Roman" w:cs="Times New Roman"/>
          <w:color w:val="000000"/>
          <w:kern w:val="0"/>
          <w:lang w:eastAsia="tr-TR"/>
          <w14:ligatures w14:val="none"/>
        </w:rPr>
        <w:t>Rapor'un</w:t>
      </w:r>
      <w:proofErr w:type="spellEnd"/>
      <w:r w:rsidRPr="007342E3">
        <w:rPr>
          <w:rFonts w:ascii="Times New Roman" w:eastAsia="Times New Roman" w:hAnsi="Times New Roman" w:cs="Times New Roman"/>
          <w:color w:val="000000"/>
          <w:kern w:val="0"/>
          <w:lang w:eastAsia="tr-TR"/>
          <w14:ligatures w14:val="none"/>
        </w:rPr>
        <w:t xml:space="preserve"> düzenlendiği, anılan raporda ... Birleşik Sanayiciler Dış Ticaret Anonim Şirketinin 2007, 2008 ve 2009 yılları ihracatlarının gerçeği yansıtmadığı hususuna yer verildiği anlaşılmıştır. Vergi inceleme elemanları tarafından düzenlenen muhtelif tarih ve sayılı vergi tekniği raporlarında, imalatçı/tedarikçi firmaların düzenlediği faturaların gerçek bir mal ve hizmet ifası olmadan komisyon karşılığı düzenlenen sahte faturalar olduğunun tespit edildiği belirlenmiştir. ... Birleşik Sanayiciler Dış Ticaret Anonim Şirketinin raporda yer alan ihracat beyannamelerine tekabül eden kısımlarına ilişkin olarak muaf olarak yurda giren eşyaların vergisiz olarak gerçeğe aykırı şekilde yurt içinde bırakıldığının tespit edildiğinden bahisle dava konusu işlemin tesis edildiği anlaşılmaktadır.</w:t>
      </w:r>
    </w:p>
    <w:p w14:paraId="3FAC80EF"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 xml:space="preserve">Olayda, davacı şirket hakkında Gümrük Müsteşarlığının ... gün ve ... sayılı onayıyla soruşturma başlatıldığı, yapılan soruşturma sonucunda ... tarih ve... sayılı Cevaplı </w:t>
      </w:r>
      <w:proofErr w:type="spellStart"/>
      <w:r w:rsidRPr="007342E3">
        <w:rPr>
          <w:rFonts w:ascii="Times New Roman" w:eastAsia="Times New Roman" w:hAnsi="Times New Roman" w:cs="Times New Roman"/>
          <w:color w:val="000000"/>
          <w:kern w:val="0"/>
          <w:lang w:eastAsia="tr-TR"/>
          <w14:ligatures w14:val="none"/>
        </w:rPr>
        <w:t>Rapor'un</w:t>
      </w:r>
      <w:proofErr w:type="spellEnd"/>
      <w:r w:rsidRPr="007342E3">
        <w:rPr>
          <w:rFonts w:ascii="Times New Roman" w:eastAsia="Times New Roman" w:hAnsi="Times New Roman" w:cs="Times New Roman"/>
          <w:color w:val="000000"/>
          <w:kern w:val="0"/>
          <w:lang w:eastAsia="tr-TR"/>
          <w14:ligatures w14:val="none"/>
        </w:rPr>
        <w:t xml:space="preserve"> düzenlendiği </w:t>
      </w:r>
      <w:r w:rsidRPr="007342E3">
        <w:rPr>
          <w:rFonts w:ascii="Times New Roman" w:eastAsia="Times New Roman" w:hAnsi="Times New Roman" w:cs="Times New Roman"/>
          <w:color w:val="000000"/>
          <w:kern w:val="0"/>
          <w:lang w:eastAsia="tr-TR"/>
          <w14:ligatures w14:val="none"/>
        </w:rPr>
        <w:lastRenderedPageBreak/>
        <w:t>görülmüştür. Dahilde işleme rejimi şartlarının ihlal edildiği hususu, ilk kez soruşturma onayının verildiği 28/08/2009 tarihinde anlaşılmıştır. Bu nedenle bu tarihten itibaren üç yıl içerisinde ek tahakkuk ve para cezası kararları alınarak bunların davacıya tebliğ edilmesi gerekmektedir. Ancak olayda üç yıllık zamanaşımı süresi geçirildikten sonra, ek tahakkuk ve para cezası kararlarının alındığı anlaşıldığından zamanaşımına uğramış amme alacaklarına ilişkin vaki itirazın reddine dair dava konusu işlemde hukuka uygunluk bulunmadığı sonucuna ulaşılmıştır.</w:t>
      </w:r>
    </w:p>
    <w:p w14:paraId="57DB31A1"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Mahkeme bu gerekçeyle dava konusu işlemi iptal etmiştir.</w:t>
      </w:r>
    </w:p>
    <w:p w14:paraId="0F0BE168"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Davalının temyiz istemini inceleyen Danıştay Yedinci Dairesinin 14/02/2023 tarih ve E:2020/3683, K:2023/577 sayılı kararı:</w:t>
      </w:r>
    </w:p>
    <w:p w14:paraId="55D3062E"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hyperlink r:id="rId9" w:tgtFrame="_blank" w:history="1">
        <w:r w:rsidRPr="007342E3">
          <w:rPr>
            <w:rFonts w:ascii="Times New Roman" w:eastAsia="Times New Roman" w:hAnsi="Times New Roman" w:cs="Times New Roman"/>
            <w:color w:val="0563C1"/>
            <w:kern w:val="0"/>
            <w:u w:val="single"/>
            <w:lang w:eastAsia="tr-TR"/>
            <w14:ligatures w14:val="none"/>
          </w:rPr>
          <w:t>4458</w:t>
        </w:r>
      </w:hyperlink>
      <w:r w:rsidRPr="007342E3">
        <w:rPr>
          <w:rFonts w:ascii="Times New Roman" w:eastAsia="Times New Roman" w:hAnsi="Times New Roman" w:cs="Times New Roman"/>
          <w:color w:val="000000"/>
          <w:kern w:val="0"/>
          <w:lang w:eastAsia="tr-TR"/>
          <w14:ligatures w14:val="none"/>
        </w:rPr>
        <w:t> sayılı Gümrük Kanunu'nun </w:t>
      </w:r>
      <w:hyperlink r:id="rId10" w:anchor="MAdde108_3" w:tgtFrame="_blank" w:history="1">
        <w:r w:rsidRPr="007342E3">
          <w:rPr>
            <w:rFonts w:ascii="Times New Roman" w:eastAsia="Times New Roman" w:hAnsi="Times New Roman" w:cs="Times New Roman"/>
            <w:color w:val="0563C1"/>
            <w:kern w:val="0"/>
            <w:u w:val="single"/>
            <w:lang w:eastAsia="tr-TR"/>
            <w14:ligatures w14:val="none"/>
          </w:rPr>
          <w:t>108.</w:t>
        </w:r>
      </w:hyperlink>
      <w:r w:rsidRPr="007342E3">
        <w:rPr>
          <w:rFonts w:ascii="Times New Roman" w:eastAsia="Times New Roman" w:hAnsi="Times New Roman" w:cs="Times New Roman"/>
          <w:color w:val="000000"/>
          <w:kern w:val="0"/>
          <w:lang w:eastAsia="tr-TR"/>
          <w14:ligatures w14:val="none"/>
        </w:rPr>
        <w:t> maddesinin (1) numaralı fıkrasında, serbest dolaşımda olmayan eşyanın, işlem görmüş ürünlerin üretiminde kullanılmasından sonra Türkiye Gümrük Bölgesinden yeniden ihraç edilmesi amacıyla, gümrük vergileri ve ticaret politikası önlemlerine tabi tutulmaksızın ve vergileri teminata bağlanmak suretiyle, dahilde işleme rejimi kapsamında geçici olarak ithal edilebileceği; eşyanın işlem görmüş ürünler şeklinde ihracı halinde, teminatın iade olunacağı; eşyanın bu şekilde dahilde işleme rejiminden yararlanmasına, şartlı muafiyet sistemi denileceği belirtilmiştir.</w:t>
      </w:r>
    </w:p>
    <w:p w14:paraId="1BA103C8"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Anılan Kanun'un 238. maddesinin dava konusu beyannamelerin tescil edildiği tarihte yürürlükte bulunan şeklinde dahilde işleme rejimine ilişkin hükümlerin ihlali halinde, eşyaya ilişkin gümrük vergilerinin tahsili yanında, bu vergilerin iki katı tutarında para cezası alınacağı belirtilmiştir.</w:t>
      </w:r>
    </w:p>
    <w:p w14:paraId="0B1AC6CF"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Aynı Kanun'un </w:t>
      </w:r>
      <w:hyperlink r:id="rId11" w:anchor="madde184" w:tgtFrame="_blank" w:history="1">
        <w:r w:rsidRPr="007342E3">
          <w:rPr>
            <w:rFonts w:ascii="Times New Roman" w:eastAsia="Times New Roman" w:hAnsi="Times New Roman" w:cs="Times New Roman"/>
            <w:color w:val="0563C1"/>
            <w:kern w:val="0"/>
            <w:u w:val="single"/>
            <w:lang w:eastAsia="tr-TR"/>
            <w14:ligatures w14:val="none"/>
          </w:rPr>
          <w:t>184.</w:t>
        </w:r>
      </w:hyperlink>
      <w:r w:rsidRPr="007342E3">
        <w:rPr>
          <w:rFonts w:ascii="Times New Roman" w:eastAsia="Times New Roman" w:hAnsi="Times New Roman" w:cs="Times New Roman"/>
          <w:color w:val="000000"/>
          <w:kern w:val="0"/>
          <w:lang w:eastAsia="tr-TR"/>
          <w14:ligatures w14:val="none"/>
        </w:rPr>
        <w:t> maddesinin (1) numaralı fıkrasının beyannamelerin tescil tarihinde yürürlükte olan halinde, 183. maddede belirtilen haller dışında; (a) İthalat vergilerine tabi eşyanın geçici depolanmasından veya tabi tutulmuş olduğu gümrük rejiminin uygulanmasından doğan yükümlülüklerden birinin yerine getirilmemesi, (b) eşyanın söz konusu gümrük rejimine tabi tutulmasına veya nihai kullanımı nedeniyle indirimli yahut sıfır ithalat vergi oranı uygulanmasına ilişkin koşullardan birine uyulmaması hallerinde ve bu fiillerin geçici depolamanın veya ilgili gümrük rejiminin yanlış uygulanması sonucunu yarattığının tespit edilmesi durumunda ithalat nedeniyle gümrük yükümlülüğünün başlayacağı belirtilmiştir. Aynı maddenin (2) numaralı fıkrasında gümrük yükümlülüğünün (1) numaralı fıkranın (a) bendinde belirtilen hükmün yerine getirilememesinin bir gümrük yükümlülüğü doğurması halinde, bu tarihte, eşyanın söz konusu gümrük rejimine tabi tutulmasına veya özel amaçlı kullanımı nedeniyle indirimli ya da sıfır ithalat vergi oranı uygulanmasına ilişkin bir koşula uyulmadığının sonradan tespiti halinde, ilgili rejime tabi tutulduğu tarihte başlayacağı hükme bağlanmıştır.</w:t>
      </w:r>
    </w:p>
    <w:p w14:paraId="1D499AB0"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Dahilde işleme rejimi kapsamında yapılan ithalatlarda, gümrük yükümlülüğü rejim şartlarının ihlali halinde doğmakta olup, söz konusu ihlalin, taahhüt hesabının kapatılarak teminatların iade edilmesinden sonra tespiti durumunda, bahse konu tespitin gümrük idaresinin bilgisine girdiği tarihten itibaren üç yıllık zamanaşımı süresi içinde gümrük vergileri alınmadan yurda girişi yapılan eşyadan kaynaklanan tahakkuk ve para cezalarının karara bağlanarak ilgilisine tebliğ edilmesi zorunludur.</w:t>
      </w:r>
    </w:p>
    <w:p w14:paraId="2BC02137"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Olayda, dahilde işleme rejimi şartlarının ihlal edildiği hususunun, ... tarih ve ... sayılı Soruşturma Raporu ile gümrük idaresinin bilgisine girdiği dikkate alındığında, bu tarih itibarıyla üç yıllık zamanaşımı süresi içerisinde, 24/09/2013 tarihinde tesis edilerek 02/10/2013 tarihinde davacıya tebliğ edildiği anlaşılan tahakkuk kararına konu vergilerin zamanaşımına uğradığından söz edilemeyecektir. Dolayısıyla uyuşmazlığın esası incelenmek suretiyle karar verilmesi gerekirken, ek tahakkuk ve para cezalarının zamanaşımına uğradığı gerekçesiyle dava konusu işlemin iptali yolunda verilen temyize konu kararda isabet görülmemiştir.</w:t>
      </w:r>
    </w:p>
    <w:p w14:paraId="04C6F534"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Daire bu gerekçeyle kararı bozmuştur.</w:t>
      </w:r>
    </w:p>
    <w:p w14:paraId="5FB98489"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 xml:space="preserve">... Vergi Mahkemesinin... tarih ve </w:t>
      </w:r>
      <w:proofErr w:type="gramStart"/>
      <w:r w:rsidRPr="007342E3">
        <w:rPr>
          <w:rFonts w:ascii="Times New Roman" w:eastAsia="Times New Roman" w:hAnsi="Times New Roman" w:cs="Times New Roman"/>
          <w:color w:val="000000"/>
          <w:kern w:val="0"/>
          <w:lang w:eastAsia="tr-TR"/>
          <w14:ligatures w14:val="none"/>
        </w:rPr>
        <w:t>E:...</w:t>
      </w:r>
      <w:proofErr w:type="gramEnd"/>
      <w:r w:rsidRPr="007342E3">
        <w:rPr>
          <w:rFonts w:ascii="Times New Roman" w:eastAsia="Times New Roman" w:hAnsi="Times New Roman" w:cs="Times New Roman"/>
          <w:color w:val="000000"/>
          <w:kern w:val="0"/>
          <w:lang w:eastAsia="tr-TR"/>
          <w14:ligatures w14:val="none"/>
        </w:rPr>
        <w:t>, K:...... sayılı ısrar kararı:</w:t>
      </w:r>
    </w:p>
    <w:p w14:paraId="6B1E61E5"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Mahkeme, ilk kararında yer alan hukuksal nedenler ve gerekçeyle ısrar etmiştir.</w:t>
      </w:r>
    </w:p>
    <w:p w14:paraId="079E7E23"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TEMYİZ EDENİN İDDİALARI :</w:t>
      </w:r>
      <w:r w:rsidRPr="007342E3">
        <w:rPr>
          <w:rFonts w:ascii="Times New Roman" w:eastAsia="Times New Roman" w:hAnsi="Times New Roman" w:cs="Times New Roman"/>
          <w:color w:val="000000"/>
          <w:kern w:val="0"/>
          <w:lang w:eastAsia="tr-TR"/>
          <w14:ligatures w14:val="none"/>
        </w:rPr>
        <w:t>Tesis edilen işlemde hukuka aykırılık bulunmadığı belirtilerek ısrar kararının bozulması gerektiği ileri sürülmektedir.</w:t>
      </w:r>
    </w:p>
    <w:p w14:paraId="6659C693"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KARŞI TARAFIN SAVUNMASI :</w:t>
      </w:r>
      <w:r w:rsidRPr="007342E3">
        <w:rPr>
          <w:rFonts w:ascii="Times New Roman" w:eastAsia="Times New Roman" w:hAnsi="Times New Roman" w:cs="Times New Roman"/>
          <w:color w:val="000000"/>
          <w:kern w:val="0"/>
          <w:lang w:eastAsia="tr-TR"/>
          <w14:ligatures w14:val="none"/>
        </w:rPr>
        <w:t>Cevap verilmemiştir.</w:t>
      </w:r>
    </w:p>
    <w:p w14:paraId="1D23E8A5"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DANIŞTAY TETKİK HÂKİMİ ...'NUN DÜŞÜNCESİ :</w:t>
      </w:r>
      <w:r w:rsidRPr="007342E3">
        <w:rPr>
          <w:rFonts w:ascii="Times New Roman" w:eastAsia="Times New Roman" w:hAnsi="Times New Roman" w:cs="Times New Roman"/>
          <w:color w:val="000000"/>
          <w:kern w:val="0"/>
          <w:lang w:eastAsia="tr-TR"/>
          <w14:ligatures w14:val="none"/>
        </w:rPr>
        <w:t>Temyizen incelenen ısrar kararının, Danıştay Yedinci Dairesinin kararında yer alan hukuksal nedenler ve gerekçe uyarınca bozulması gerektiği düşünülmektedir.</w:t>
      </w:r>
    </w:p>
    <w:p w14:paraId="05A0C35C"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TÜRK MİLLETİ ADINA</w:t>
      </w:r>
    </w:p>
    <w:p w14:paraId="0373437E"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Karar veren Danıştay Vergi Dava Daireleri Kurulunca, Tetkik Hâkiminin açıklamaları dinlendikten ve dosyadaki belgeler incelendikten sonra gereği görüşüldü:</w:t>
      </w:r>
    </w:p>
    <w:p w14:paraId="77F0EC8C"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HUKUKİ DEĞERLENDİRME :</w:t>
      </w:r>
    </w:p>
    <w:p w14:paraId="70AFA467"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Danıştay Yedinci Dairesinin yukarıda yer verilen kararının dayandığı aynı hukuksal nedenler ve gerekçeyle ısrar kararının bozulması gerekmektedir.</w:t>
      </w:r>
    </w:p>
    <w:p w14:paraId="1D42F2D7"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KARAR SONUCU :</w:t>
      </w:r>
    </w:p>
    <w:p w14:paraId="2C6AD97B"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Açıklanan nedenlerle;</w:t>
      </w:r>
    </w:p>
    <w:p w14:paraId="1A260014"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1-Davalının temyiz isteminin KABULÜNE,</w:t>
      </w:r>
    </w:p>
    <w:p w14:paraId="3EDDC22D"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 xml:space="preserve">2-... Vergi Mahkemesinin ... tarih ve </w:t>
      </w:r>
      <w:proofErr w:type="gramStart"/>
      <w:r w:rsidRPr="007342E3">
        <w:rPr>
          <w:rFonts w:ascii="Times New Roman" w:eastAsia="Times New Roman" w:hAnsi="Times New Roman" w:cs="Times New Roman"/>
          <w:color w:val="000000"/>
          <w:kern w:val="0"/>
          <w:lang w:eastAsia="tr-TR"/>
          <w14:ligatures w14:val="none"/>
        </w:rPr>
        <w:t>E:...</w:t>
      </w:r>
      <w:proofErr w:type="gramEnd"/>
      <w:r w:rsidRPr="007342E3">
        <w:rPr>
          <w:rFonts w:ascii="Times New Roman" w:eastAsia="Times New Roman" w:hAnsi="Times New Roman" w:cs="Times New Roman"/>
          <w:color w:val="000000"/>
          <w:kern w:val="0"/>
          <w:lang w:eastAsia="tr-TR"/>
          <w14:ligatures w14:val="none"/>
        </w:rPr>
        <w:t xml:space="preserve">, </w:t>
      </w:r>
      <w:proofErr w:type="gramStart"/>
      <w:r w:rsidRPr="007342E3">
        <w:rPr>
          <w:rFonts w:ascii="Times New Roman" w:eastAsia="Times New Roman" w:hAnsi="Times New Roman" w:cs="Times New Roman"/>
          <w:color w:val="000000"/>
          <w:kern w:val="0"/>
          <w:lang w:eastAsia="tr-TR"/>
          <w14:ligatures w14:val="none"/>
        </w:rPr>
        <w:t>K:...</w:t>
      </w:r>
      <w:proofErr w:type="gramEnd"/>
      <w:r w:rsidRPr="007342E3">
        <w:rPr>
          <w:rFonts w:ascii="Times New Roman" w:eastAsia="Times New Roman" w:hAnsi="Times New Roman" w:cs="Times New Roman"/>
          <w:color w:val="000000"/>
          <w:kern w:val="0"/>
          <w:lang w:eastAsia="tr-TR"/>
          <w14:ligatures w14:val="none"/>
        </w:rPr>
        <w:t xml:space="preserve"> sayılı ısrar kararının BOZULMASINA,</w:t>
      </w:r>
    </w:p>
    <w:p w14:paraId="5C6F1A0E"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3-Yeniden verilecek kararda karşılanacağından, yargılama giderleri hakkında hüküm kurulmasına gerek bulunmadığına,</w:t>
      </w:r>
    </w:p>
    <w:p w14:paraId="2D475F88"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2577 sayılı Kanun'un (Geçici 8. maddesi uyarınca uygulanmasına devam edilen) 54. maddesinin (1) numaralı fıkrası uyarınca bu kararın tebliğ tarihini izleyen günden itibaren on beş gün içinde karar düzeltme yolu açık olmak üzere, 09/04/2025 tarihinde oyçokluğuyla karar verildi.</w:t>
      </w:r>
    </w:p>
    <w:p w14:paraId="2628B315"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b/>
          <w:bCs/>
          <w:color w:val="000000"/>
          <w:kern w:val="0"/>
          <w:lang w:eastAsia="tr-TR"/>
          <w14:ligatures w14:val="none"/>
        </w:rPr>
        <w:t>X - KARŞI OY :</w:t>
      </w:r>
    </w:p>
    <w:p w14:paraId="026AFBD5"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Temyiz dilekçesinde ileri sürülen iddialar, dayandığı hukuksal nedenler ve gerekçe karşısında ısrar kararının bozulmasını gerektirecek nitelikte bulunmadığından, istemin reddi gerektiği oyu ile karara katılmıyoruz.</w:t>
      </w:r>
    </w:p>
    <w:p w14:paraId="5D4BCDA1"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 </w:t>
      </w:r>
    </w:p>
    <w:p w14:paraId="401C7C9F"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 </w:t>
      </w:r>
    </w:p>
    <w:p w14:paraId="1FE5B628" w14:textId="77777777" w:rsidR="007342E3" w:rsidRPr="007342E3" w:rsidRDefault="007342E3" w:rsidP="007342E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7342E3">
        <w:rPr>
          <w:rFonts w:ascii="Times New Roman" w:eastAsia="Times New Roman" w:hAnsi="Times New Roman" w:cs="Times New Roman"/>
          <w:color w:val="000000"/>
          <w:kern w:val="0"/>
          <w:lang w:eastAsia="tr-TR"/>
          <w14:ligatures w14:val="none"/>
        </w:rPr>
        <w:t> </w:t>
      </w:r>
    </w:p>
    <w:p w14:paraId="239A7FD5"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8A"/>
    <w:rsid w:val="00255F8A"/>
    <w:rsid w:val="00321E8D"/>
    <w:rsid w:val="007342E3"/>
    <w:rsid w:val="00865362"/>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70F3E-8E88-4924-A189-42C1B910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55F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55F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55F8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55F8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55F8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55F8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5F8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5F8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5F8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5F8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55F8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55F8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55F8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55F8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55F8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5F8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5F8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5F8A"/>
    <w:rPr>
      <w:rFonts w:eastAsiaTheme="majorEastAsia" w:cstheme="majorBidi"/>
      <w:color w:val="272727" w:themeColor="text1" w:themeTint="D8"/>
    </w:rPr>
  </w:style>
  <w:style w:type="paragraph" w:styleId="KonuBal">
    <w:name w:val="Title"/>
    <w:basedOn w:val="Normal"/>
    <w:next w:val="Normal"/>
    <w:link w:val="KonuBalChar"/>
    <w:uiPriority w:val="10"/>
    <w:qFormat/>
    <w:rsid w:val="00255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5F8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5F8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5F8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5F8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5F8A"/>
    <w:rPr>
      <w:i/>
      <w:iCs/>
      <w:color w:val="404040" w:themeColor="text1" w:themeTint="BF"/>
    </w:rPr>
  </w:style>
  <w:style w:type="paragraph" w:styleId="ListeParagraf">
    <w:name w:val="List Paragraph"/>
    <w:basedOn w:val="Normal"/>
    <w:uiPriority w:val="34"/>
    <w:qFormat/>
    <w:rsid w:val="00255F8A"/>
    <w:pPr>
      <w:ind w:left="720"/>
      <w:contextualSpacing/>
    </w:pPr>
  </w:style>
  <w:style w:type="character" w:styleId="GlVurgulama">
    <w:name w:val="Intense Emphasis"/>
    <w:basedOn w:val="VarsaylanParagrafYazTipi"/>
    <w:uiPriority w:val="21"/>
    <w:qFormat/>
    <w:rsid w:val="00255F8A"/>
    <w:rPr>
      <w:i/>
      <w:iCs/>
      <w:color w:val="2E74B5" w:themeColor="accent1" w:themeShade="BF"/>
    </w:rPr>
  </w:style>
  <w:style w:type="paragraph" w:styleId="GlAlnt">
    <w:name w:val="Intense Quote"/>
    <w:basedOn w:val="Normal"/>
    <w:next w:val="Normal"/>
    <w:link w:val="GlAlntChar"/>
    <w:uiPriority w:val="30"/>
    <w:qFormat/>
    <w:rsid w:val="00255F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55F8A"/>
    <w:rPr>
      <w:i/>
      <w:iCs/>
      <w:color w:val="2E74B5" w:themeColor="accent1" w:themeShade="BF"/>
    </w:rPr>
  </w:style>
  <w:style w:type="character" w:styleId="GlBavuru">
    <w:name w:val="Intense Reference"/>
    <w:basedOn w:val="VarsaylanParagrafYazTipi"/>
    <w:uiPriority w:val="32"/>
    <w:qFormat/>
    <w:rsid w:val="00255F8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mrukkulliyati.com/index.php?id=docs/gumruk_mevzuati/gumruk_kanunu_.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umrukkulliyati.com/index.php?id=docs/gumruk_mevzuati/gumruk_kanunu_.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mrukkulliyati.com/index.php?id=docs/gumruk_mevzuati/gumruk_kanunu_.htm" TargetMode="External"/><Relationship Id="rId11" Type="http://schemas.openxmlformats.org/officeDocument/2006/relationships/hyperlink" Target="https://www.gumrukkulliyati.com/index.php?id=docs/gumruk_mevzuati/gumruk_kanunu_.htm" TargetMode="External"/><Relationship Id="rId5" Type="http://schemas.openxmlformats.org/officeDocument/2006/relationships/hyperlink" Target="https://www.gumrukkulliyati.com/index.php?id=docs/gumruk_mevzuati/gumruk_kanunu_.htm" TargetMode="External"/><Relationship Id="rId10" Type="http://schemas.openxmlformats.org/officeDocument/2006/relationships/hyperlink" Target="https://www.gumrukkulliyati.com/index.php?id=docs/gumruk_mevzuati/gumruk_kanunu_.htm" TargetMode="External"/><Relationship Id="rId4" Type="http://schemas.openxmlformats.org/officeDocument/2006/relationships/hyperlink" Target="https://www.gumrukkulliyati.com/index.php?id=docs/gumruk_mevzuati/gumruk_kanunu_.htm" TargetMode="External"/><Relationship Id="rId9" Type="http://schemas.openxmlformats.org/officeDocument/2006/relationships/hyperlink" Target="https://www.gumrukkulliyati.com/index.php?id=docs/gumruk_mevzuati/gumruk_kanunu_.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2025-10-20T07:01:00Z</dcterms:created>
  <dcterms:modified xsi:type="dcterms:W3CDTF">2025-10-20T07:01:00Z</dcterms:modified>
</cp:coreProperties>
</file>