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072"/>
      </w:tblGrid>
      <w:tr w:rsidR="00747DB1" w:rsidRPr="00747DB1">
        <w:tc>
          <w:tcPr>
            <w:tcW w:w="5000" w:type="pct"/>
            <w:tcBorders>
              <w:top w:val="nil"/>
              <w:left w:val="nil"/>
              <w:bottom w:val="nil"/>
              <w:right w:val="nil"/>
            </w:tcBorders>
            <w:hideMark/>
          </w:tcPr>
          <w:tbl>
            <w:tblPr>
              <w:tblW w:w="5000" w:type="pct"/>
              <w:tblCellMar>
                <w:left w:w="0" w:type="dxa"/>
                <w:right w:w="0" w:type="dxa"/>
              </w:tblCellMar>
              <w:tblLook w:val="04A0" w:firstRow="1" w:lastRow="0" w:firstColumn="1" w:lastColumn="0" w:noHBand="0" w:noVBand="1"/>
            </w:tblPr>
            <w:tblGrid>
              <w:gridCol w:w="9072"/>
            </w:tblGrid>
            <w:tr w:rsidR="00747DB1" w:rsidRPr="00747DB1">
              <w:tc>
                <w:tcPr>
                  <w:tcW w:w="5000" w:type="pct"/>
                  <w:tcBorders>
                    <w:top w:val="nil"/>
                    <w:left w:val="nil"/>
                    <w:bottom w:val="nil"/>
                    <w:right w:val="nil"/>
                  </w:tcBorders>
                  <w:vAlign w:val="center"/>
                  <w:hideMark/>
                </w:tcPr>
                <w:p w:rsidR="00747DB1" w:rsidRPr="00747DB1" w:rsidRDefault="00747DB1" w:rsidP="00747DB1">
                  <w:pPr>
                    <w:spacing w:before="100" w:beforeAutospacing="1" w:after="100" w:afterAutospacing="1"/>
                    <w:jc w:val="center"/>
                    <w:rPr>
                      <w:rFonts w:ascii="Arial" w:hAnsi="Arial"/>
                      <w:color w:val="000000"/>
                      <w:sz w:val="18"/>
                      <w:szCs w:val="18"/>
                    </w:rPr>
                  </w:pPr>
                  <w:bookmarkStart w:id="0" w:name="_GoBack"/>
                  <w:bookmarkEnd w:id="0"/>
                  <w:r w:rsidRPr="00747DB1">
                    <w:rPr>
                      <w:rFonts w:ascii="Arial" w:hAnsi="Arial"/>
                      <w:b/>
                      <w:bCs/>
                      <w:color w:val="000000"/>
                      <w:sz w:val="18"/>
                      <w:szCs w:val="18"/>
                    </w:rPr>
                    <w:t>T.C.</w:t>
                  </w:r>
                </w:p>
                <w:p w:rsidR="00747DB1" w:rsidRPr="00747DB1" w:rsidRDefault="00747DB1" w:rsidP="00747DB1">
                  <w:pPr>
                    <w:spacing w:before="100" w:beforeAutospacing="1" w:after="100" w:afterAutospacing="1"/>
                    <w:jc w:val="center"/>
                    <w:rPr>
                      <w:rFonts w:ascii="Arial" w:hAnsi="Arial"/>
                      <w:color w:val="000000"/>
                      <w:sz w:val="18"/>
                      <w:szCs w:val="18"/>
                    </w:rPr>
                  </w:pPr>
                  <w:r w:rsidRPr="00747DB1">
                    <w:rPr>
                      <w:rFonts w:ascii="Arial" w:hAnsi="Arial"/>
                      <w:b/>
                      <w:bCs/>
                      <w:color w:val="000000"/>
                      <w:sz w:val="18"/>
                      <w:szCs w:val="18"/>
                    </w:rPr>
                    <w:t>GÜMRÜK VE TİCARET BAKANLIĞI</w:t>
                  </w:r>
                </w:p>
                <w:p w:rsidR="00747DB1" w:rsidRPr="00747DB1" w:rsidRDefault="00747DB1" w:rsidP="00747DB1">
                  <w:pPr>
                    <w:spacing w:before="100" w:beforeAutospacing="1" w:after="100" w:afterAutospacing="1"/>
                    <w:jc w:val="center"/>
                    <w:rPr>
                      <w:rFonts w:ascii="Arial" w:hAnsi="Arial"/>
                      <w:color w:val="000000"/>
                      <w:sz w:val="18"/>
                      <w:szCs w:val="18"/>
                    </w:rPr>
                  </w:pPr>
                  <w:r w:rsidRPr="00747DB1">
                    <w:rPr>
                      <w:rFonts w:ascii="Arial" w:hAnsi="Arial"/>
                      <w:b/>
                      <w:bCs/>
                      <w:color w:val="000000"/>
                      <w:sz w:val="18"/>
                      <w:szCs w:val="18"/>
                    </w:rPr>
                    <w:t>Gümrükler Genel Müdürlüğü</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b/>
                      <w:bCs/>
                      <w:color w:val="000000"/>
                      <w:sz w:val="18"/>
                      <w:szCs w:val="18"/>
                    </w:rPr>
                    <w:t>Sayı     :</w:t>
                  </w:r>
                  <w:r w:rsidRPr="00747DB1">
                    <w:rPr>
                      <w:rFonts w:ascii="Arial" w:hAnsi="Arial"/>
                      <w:color w:val="000000"/>
                      <w:sz w:val="18"/>
                      <w:szCs w:val="18"/>
                    </w:rPr>
                    <w:t>20117910-112.99</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b/>
                      <w:bCs/>
                      <w:color w:val="000000"/>
                      <w:sz w:val="18"/>
                      <w:szCs w:val="18"/>
                    </w:rPr>
                    <w:t>Konu   :</w:t>
                  </w:r>
                  <w:r w:rsidRPr="00747DB1">
                    <w:rPr>
                      <w:rFonts w:ascii="Arial" w:hAnsi="Arial"/>
                      <w:color w:val="000000"/>
                      <w:sz w:val="18"/>
                      <w:szCs w:val="18"/>
                    </w:rPr>
                    <w:t>İthalatta Gözetim Uygulamasına</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color w:val="000000"/>
                      <w:sz w:val="18"/>
                      <w:szCs w:val="18"/>
                    </w:rPr>
                    <w:t> İlişkin Tebliğ (Tebliğ No:2010/1)</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b/>
                      <w:bCs/>
                      <w:color w:val="000000"/>
                      <w:sz w:val="18"/>
                      <w:szCs w:val="18"/>
                    </w:rPr>
                    <w:t> </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b/>
                      <w:bCs/>
                      <w:color w:val="000000"/>
                      <w:sz w:val="18"/>
                      <w:szCs w:val="18"/>
                    </w:rPr>
                    <w:t> </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b/>
                      <w:bCs/>
                      <w:color w:val="000000"/>
                      <w:sz w:val="18"/>
                      <w:szCs w:val="18"/>
                    </w:rPr>
                    <w:t> </w:t>
                  </w:r>
                </w:p>
                <w:p w:rsidR="00747DB1" w:rsidRPr="00747DB1" w:rsidRDefault="00747DB1" w:rsidP="00747DB1">
                  <w:pPr>
                    <w:spacing w:before="100" w:beforeAutospacing="1" w:after="100" w:afterAutospacing="1"/>
                    <w:jc w:val="center"/>
                    <w:rPr>
                      <w:rFonts w:ascii="Arial" w:hAnsi="Arial"/>
                      <w:color w:val="000000"/>
                      <w:sz w:val="18"/>
                      <w:szCs w:val="18"/>
                    </w:rPr>
                  </w:pPr>
                  <w:r w:rsidRPr="00747DB1">
                    <w:rPr>
                      <w:rFonts w:ascii="Arial" w:hAnsi="Arial"/>
                      <w:b/>
                      <w:bCs/>
                      <w:color w:val="000000"/>
                      <w:sz w:val="18"/>
                      <w:szCs w:val="18"/>
                    </w:rPr>
                    <w:t>23.11.2017 / 29802149</w:t>
                  </w:r>
                </w:p>
                <w:p w:rsidR="00747DB1" w:rsidRPr="00747DB1" w:rsidRDefault="00747DB1" w:rsidP="00747DB1">
                  <w:pPr>
                    <w:spacing w:before="100" w:beforeAutospacing="1" w:after="100" w:afterAutospacing="1"/>
                    <w:jc w:val="center"/>
                    <w:rPr>
                      <w:rFonts w:ascii="Arial" w:hAnsi="Arial"/>
                      <w:color w:val="000000"/>
                      <w:sz w:val="18"/>
                      <w:szCs w:val="18"/>
                    </w:rPr>
                  </w:pPr>
                  <w:r w:rsidRPr="00747DB1">
                    <w:rPr>
                      <w:rFonts w:ascii="Arial" w:hAnsi="Arial"/>
                      <w:b/>
                      <w:bCs/>
                      <w:color w:val="000000"/>
                      <w:sz w:val="18"/>
                      <w:szCs w:val="18"/>
                    </w:rPr>
                    <w:t>DAĞITIM YERLERİNE</w:t>
                  </w:r>
                </w:p>
                <w:p w:rsidR="00747DB1" w:rsidRPr="00747DB1" w:rsidRDefault="00747DB1" w:rsidP="00747DB1">
                  <w:pPr>
                    <w:spacing w:before="100" w:beforeAutospacing="1" w:after="100" w:afterAutospacing="1"/>
                    <w:jc w:val="center"/>
                    <w:rPr>
                      <w:rFonts w:ascii="Arial" w:hAnsi="Arial"/>
                      <w:color w:val="000000"/>
                      <w:sz w:val="18"/>
                      <w:szCs w:val="18"/>
                    </w:rPr>
                  </w:pPr>
                  <w:r w:rsidRPr="00747DB1">
                    <w:rPr>
                      <w:rFonts w:ascii="Arial" w:hAnsi="Arial"/>
                      <w:color w:val="000000"/>
                      <w:sz w:val="18"/>
                      <w:szCs w:val="18"/>
                    </w:rPr>
                    <w:t> </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color w:val="000000"/>
                      <w:sz w:val="18"/>
                      <w:szCs w:val="18"/>
                    </w:rPr>
                    <w:t> </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color w:val="000000"/>
                      <w:sz w:val="18"/>
                      <w:szCs w:val="18"/>
                    </w:rPr>
                    <w:t> </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color w:val="000000"/>
                      <w:sz w:val="18"/>
                      <w:szCs w:val="18"/>
                    </w:rPr>
                    <w:t>Bilindiği üzere, 31.12.2009 ve 27449 (2. Mükerrer) sayılı Resmi Gazete'de yayımlanan İthalatta Gözetim Uygulanmasına İlişkin Tebliğ (Tebliğ No: 2010/1) çerçevesinde, Tebliğ Ek-1'de fasıl numarası ile gümrük tarife pozisyonu belirtilen tekstil ve konfeksiyon ürünleri, ithalinde, kayda alınmak suretiyle ileriye yönelik olarak gözetime tabi tutulmakta olup kayda alınacak ürünlerin serbest dolaşıma girişinde gümrük beyannamelerinin tescilinde menşe ayrımı yapılmaksızın “Kayıt Belgesi” veya elektronik ortamdaki kaydın ithalatçı tarafından ilgili gümrük idaresine sunulması gerekmektedir.</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color w:val="000000"/>
                      <w:sz w:val="18"/>
                      <w:szCs w:val="18"/>
                    </w:rPr>
                    <w:t>4458 sayılı Gümrük Kanununun 168. maddesine göre, serbest dolaşımda bulunan eşya, Türkiye Gümrük Bölgesinden veya Türkiye’nin anlaşmalarla dâhil olduğu gümrük birliği gümrük bölgelerinin diğer bir noktasından ihraç edildikten sonra üç yıl içinde yeniden serbest dolaşıma girmesi halinde ve beyan sahibinin talebi üzerine, ithalat vergilerinden muaf tutulmaktadır.</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color w:val="000000"/>
                      <w:sz w:val="18"/>
                      <w:szCs w:val="18"/>
                    </w:rPr>
                    <w:t>Buradan hareketle, Gümrük Kanununun 168. maddesine konu geri gelen eşyanın ihracından önce serbest dolaşımda olduğu dikkate alındığında, 2010/1 sayılı Tebliğ kapsamı 4010 "ihraç edilen eşyanın muafiyete tabi olmadan serbest dolaşıma girişi ile eş zamanlı yurtiçi kullanımı" tanımlı rejim kodunda beyan edilen geri gelen tekstil ve konfeksiyon ürünlerinin serbest dolaşıma girişinde, “Kayıt Belgesi” veya elektronik ortamdaki kaydın gümrük idarelerine ibraz edilmesine gerek bulunmamaktadır.</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color w:val="000000"/>
                      <w:sz w:val="18"/>
                      <w:szCs w:val="18"/>
                    </w:rPr>
                    <w:t>Bilgi ve gereğini rica ederim.</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color w:val="000000"/>
                      <w:sz w:val="18"/>
                      <w:szCs w:val="18"/>
                    </w:rPr>
                    <w:lastRenderedPageBreak/>
                    <w:t> </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color w:val="000000"/>
                      <w:sz w:val="18"/>
                      <w:szCs w:val="18"/>
                    </w:rPr>
                    <w:t> </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color w:val="000000"/>
                      <w:sz w:val="18"/>
                      <w:szCs w:val="18"/>
                    </w:rPr>
                    <w:t>Mustafa GÜMÜŞ</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color w:val="000000"/>
                      <w:sz w:val="18"/>
                      <w:szCs w:val="18"/>
                    </w:rPr>
                    <w:t>Bakan a.</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color w:val="000000"/>
                      <w:sz w:val="18"/>
                      <w:szCs w:val="18"/>
                    </w:rPr>
                    <w:t>Genel Müdür V.</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color w:val="000000"/>
                      <w:sz w:val="18"/>
                      <w:szCs w:val="18"/>
                    </w:rPr>
                    <w:t> </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color w:val="000000"/>
                      <w:sz w:val="18"/>
                      <w:szCs w:val="18"/>
                    </w:rPr>
                    <w:t> </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b/>
                      <w:bCs/>
                      <w:color w:val="000000"/>
                      <w:sz w:val="18"/>
                      <w:szCs w:val="18"/>
                    </w:rPr>
                    <w:t>Dağıtım:</w:t>
                  </w:r>
                </w:p>
                <w:p w:rsidR="00747DB1" w:rsidRPr="00747DB1" w:rsidRDefault="00747DB1" w:rsidP="00747DB1">
                  <w:pPr>
                    <w:spacing w:before="100" w:beforeAutospacing="1" w:after="100" w:afterAutospacing="1"/>
                    <w:rPr>
                      <w:rFonts w:ascii="Arial" w:hAnsi="Arial"/>
                      <w:color w:val="000000"/>
                      <w:sz w:val="18"/>
                      <w:szCs w:val="18"/>
                    </w:rPr>
                  </w:pPr>
                  <w:r w:rsidRPr="00747DB1">
                    <w:rPr>
                      <w:rFonts w:ascii="Arial" w:hAnsi="Arial"/>
                      <w:color w:val="000000"/>
                      <w:sz w:val="18"/>
                      <w:szCs w:val="18"/>
                    </w:rPr>
                    <w:t>Tüm Gümrük ve Ticaret Bölge Müdürlüklerine</w:t>
                  </w:r>
                </w:p>
              </w:tc>
            </w:tr>
          </w:tbl>
          <w:p w:rsidR="00747DB1" w:rsidRPr="00747DB1" w:rsidRDefault="00747DB1" w:rsidP="00747DB1">
            <w:pPr>
              <w:rPr>
                <w:rFonts w:cs="Times New Roman"/>
              </w:rPr>
            </w:pPr>
          </w:p>
        </w:tc>
      </w:tr>
    </w:tbl>
    <w:p w:rsidR="00F961DB" w:rsidRDefault="00F961DB"/>
    <w:sectPr w:rsidR="00F96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FD"/>
    <w:rsid w:val="00094FFD"/>
    <w:rsid w:val="001F7462"/>
    <w:rsid w:val="00211B55"/>
    <w:rsid w:val="002A566B"/>
    <w:rsid w:val="00747DB1"/>
    <w:rsid w:val="00A57B0E"/>
    <w:rsid w:val="00E12406"/>
    <w:rsid w:val="00F96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8DBCF-E2A1-433B-A79E-B8A524357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55"/>
    <w:rPr>
      <w:rFonts w:cs="Arial"/>
      <w:sz w:val="24"/>
      <w:szCs w:val="24"/>
      <w:lang w:eastAsia="tr-TR"/>
    </w:rPr>
  </w:style>
  <w:style w:type="paragraph" w:styleId="Balk1">
    <w:name w:val="heading 1"/>
    <w:basedOn w:val="Normal"/>
    <w:next w:val="Normal"/>
    <w:link w:val="Balk1Char1"/>
    <w:qFormat/>
    <w:rsid w:val="00211B55"/>
    <w:pPr>
      <w:keepNext/>
      <w:widowControl w:val="0"/>
      <w:jc w:val="both"/>
      <w:outlineLvl w:val="0"/>
    </w:pPr>
    <w:rPr>
      <w:rFonts w:cs="Times New Roman"/>
      <w:b/>
      <w:bCs/>
      <w:kern w:val="32"/>
      <w:sz w:val="32"/>
      <w:szCs w:val="32"/>
    </w:rPr>
  </w:style>
  <w:style w:type="paragraph" w:styleId="Balk2">
    <w:name w:val="heading 2"/>
    <w:basedOn w:val="Normal"/>
    <w:next w:val="Normal"/>
    <w:link w:val="Balk2Char"/>
    <w:qFormat/>
    <w:rsid w:val="00211B55"/>
    <w:pPr>
      <w:keepNext/>
      <w:widowControl w:val="0"/>
      <w:jc w:val="center"/>
      <w:outlineLvl w:val="1"/>
    </w:pPr>
    <w:rPr>
      <w:rFonts w:cs="Times New Roman"/>
      <w:b/>
      <w:bCs/>
      <w:i/>
      <w:iCs/>
      <w:sz w:val="28"/>
      <w:szCs w:val="28"/>
    </w:rPr>
  </w:style>
  <w:style w:type="paragraph" w:styleId="Balk3">
    <w:name w:val="heading 3"/>
    <w:basedOn w:val="Normal"/>
    <w:next w:val="Normal"/>
    <w:link w:val="Balk3Char"/>
    <w:qFormat/>
    <w:rsid w:val="00211B55"/>
    <w:pPr>
      <w:keepNext/>
      <w:tabs>
        <w:tab w:val="left" w:pos="567"/>
      </w:tabs>
      <w:ind w:firstLine="284"/>
      <w:jc w:val="center"/>
      <w:outlineLvl w:val="2"/>
    </w:pPr>
    <w:rPr>
      <w:rFonts w:cs="Times New Roman"/>
      <w:b/>
      <w:bCs/>
      <w:sz w:val="26"/>
      <w:szCs w:val="26"/>
    </w:rPr>
  </w:style>
  <w:style w:type="paragraph" w:styleId="Balk4">
    <w:name w:val="heading 4"/>
    <w:basedOn w:val="Normal"/>
    <w:next w:val="Normal"/>
    <w:link w:val="Balk4Char"/>
    <w:qFormat/>
    <w:rsid w:val="00211B55"/>
    <w:pPr>
      <w:keepNext/>
      <w:widowControl w:val="0"/>
      <w:jc w:val="center"/>
      <w:outlineLvl w:val="3"/>
    </w:pPr>
    <w:rPr>
      <w:rFonts w:cs="Times New Roman"/>
      <w:b/>
      <w:bCs/>
      <w:sz w:val="28"/>
      <w:szCs w:val="28"/>
    </w:rPr>
  </w:style>
  <w:style w:type="paragraph" w:styleId="Balk5">
    <w:name w:val="heading 5"/>
    <w:basedOn w:val="Normal"/>
    <w:next w:val="Normal"/>
    <w:link w:val="Balk5Char"/>
    <w:qFormat/>
    <w:rsid w:val="00211B55"/>
    <w:pPr>
      <w:keepNext/>
      <w:tabs>
        <w:tab w:val="left" w:pos="567"/>
      </w:tabs>
      <w:ind w:firstLine="284"/>
      <w:jc w:val="center"/>
      <w:outlineLvl w:val="4"/>
    </w:pPr>
    <w:rPr>
      <w:rFonts w:cs="Times New Roman"/>
      <w:b/>
      <w:bCs/>
      <w:i/>
      <w:iCs/>
      <w:sz w:val="26"/>
      <w:szCs w:val="26"/>
    </w:rPr>
  </w:style>
  <w:style w:type="paragraph" w:styleId="Balk6">
    <w:name w:val="heading 6"/>
    <w:basedOn w:val="Normal"/>
    <w:next w:val="Normal"/>
    <w:link w:val="Balk6Char"/>
    <w:qFormat/>
    <w:rsid w:val="00211B55"/>
    <w:pPr>
      <w:keepNext/>
      <w:ind w:firstLine="284"/>
      <w:jc w:val="center"/>
      <w:outlineLvl w:val="5"/>
    </w:pPr>
    <w:rPr>
      <w:rFonts w:cs="Times New Roman"/>
      <w:b/>
      <w:bCs/>
      <w:sz w:val="22"/>
      <w:szCs w:val="22"/>
    </w:rPr>
  </w:style>
  <w:style w:type="paragraph" w:styleId="Balk7">
    <w:name w:val="heading 7"/>
    <w:basedOn w:val="Normal"/>
    <w:next w:val="Normal"/>
    <w:link w:val="Balk7Char"/>
    <w:qFormat/>
    <w:rsid w:val="00211B55"/>
    <w:pPr>
      <w:keepNext/>
      <w:tabs>
        <w:tab w:val="left" w:pos="4536"/>
      </w:tabs>
      <w:outlineLvl w:val="6"/>
    </w:pPr>
    <w:rPr>
      <w:rFonts w:cs="Times New Roman"/>
    </w:rPr>
  </w:style>
  <w:style w:type="paragraph" w:styleId="Balk8">
    <w:name w:val="heading 8"/>
    <w:basedOn w:val="Normal"/>
    <w:next w:val="Normal"/>
    <w:link w:val="Balk8Char"/>
    <w:qFormat/>
    <w:rsid w:val="00211B55"/>
    <w:pPr>
      <w:keepNext/>
      <w:tabs>
        <w:tab w:val="left" w:pos="567"/>
      </w:tabs>
      <w:ind w:firstLine="284"/>
      <w:jc w:val="center"/>
      <w:outlineLvl w:val="7"/>
    </w:pPr>
    <w:rPr>
      <w:rFonts w:cs="Times New Roman"/>
      <w:b/>
      <w:bCs/>
      <w:sz w:val="28"/>
      <w:szCs w:val="28"/>
    </w:rPr>
  </w:style>
  <w:style w:type="paragraph" w:styleId="Balk9">
    <w:name w:val="heading 9"/>
    <w:basedOn w:val="Normal"/>
    <w:next w:val="Normal"/>
    <w:link w:val="Balk9Char"/>
    <w:qFormat/>
    <w:rsid w:val="00211B55"/>
    <w:pPr>
      <w:keepNext/>
      <w:tabs>
        <w:tab w:val="left" w:pos="567"/>
      </w:tabs>
      <w:outlineLvl w:val="8"/>
    </w:pPr>
    <w:rPr>
      <w:rFonts w:cs="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rsid w:val="002A566B"/>
    <w:rPr>
      <w:b/>
      <w:bCs/>
      <w:kern w:val="32"/>
      <w:sz w:val="32"/>
      <w:szCs w:val="32"/>
      <w:lang w:eastAsia="tr-TR"/>
    </w:rPr>
  </w:style>
  <w:style w:type="character" w:customStyle="1" w:styleId="Balk2Char">
    <w:name w:val="Başlık 2 Char"/>
    <w:basedOn w:val="VarsaylanParagrafYazTipi"/>
    <w:link w:val="Balk2"/>
    <w:rsid w:val="00E12406"/>
    <w:rPr>
      <w:b/>
      <w:bCs/>
      <w:i/>
      <w:iCs/>
      <w:sz w:val="28"/>
      <w:szCs w:val="28"/>
      <w:lang w:eastAsia="tr-TR"/>
    </w:rPr>
  </w:style>
  <w:style w:type="character" w:customStyle="1" w:styleId="Balk3Char">
    <w:name w:val="Başlık 3 Char"/>
    <w:basedOn w:val="VarsaylanParagrafYazTipi"/>
    <w:link w:val="Balk3"/>
    <w:rsid w:val="00E12406"/>
    <w:rPr>
      <w:b/>
      <w:bCs/>
      <w:sz w:val="26"/>
      <w:szCs w:val="26"/>
      <w:lang w:eastAsia="tr-TR"/>
    </w:rPr>
  </w:style>
  <w:style w:type="character" w:customStyle="1" w:styleId="Balk4Char">
    <w:name w:val="Başlık 4 Char"/>
    <w:basedOn w:val="VarsaylanParagrafYazTipi"/>
    <w:link w:val="Balk4"/>
    <w:rsid w:val="00E12406"/>
    <w:rPr>
      <w:b/>
      <w:bCs/>
      <w:sz w:val="28"/>
      <w:szCs w:val="28"/>
      <w:lang w:eastAsia="tr-TR"/>
    </w:rPr>
  </w:style>
  <w:style w:type="character" w:customStyle="1" w:styleId="Balk5Char">
    <w:name w:val="Başlık 5 Char"/>
    <w:basedOn w:val="VarsaylanParagrafYazTipi"/>
    <w:link w:val="Balk5"/>
    <w:rsid w:val="00E12406"/>
    <w:rPr>
      <w:b/>
      <w:bCs/>
      <w:i/>
      <w:iCs/>
      <w:sz w:val="26"/>
      <w:szCs w:val="26"/>
      <w:lang w:eastAsia="tr-TR"/>
    </w:rPr>
  </w:style>
  <w:style w:type="character" w:customStyle="1" w:styleId="Balk6Char">
    <w:name w:val="Başlık 6 Char"/>
    <w:basedOn w:val="VarsaylanParagrafYazTipi"/>
    <w:link w:val="Balk6"/>
    <w:rsid w:val="00E12406"/>
    <w:rPr>
      <w:b/>
      <w:bCs/>
      <w:sz w:val="22"/>
      <w:szCs w:val="22"/>
      <w:lang w:eastAsia="tr-TR"/>
    </w:rPr>
  </w:style>
  <w:style w:type="character" w:customStyle="1" w:styleId="Balk7Char">
    <w:name w:val="Başlık 7 Char"/>
    <w:basedOn w:val="VarsaylanParagrafYazTipi"/>
    <w:link w:val="Balk7"/>
    <w:rsid w:val="00E12406"/>
    <w:rPr>
      <w:sz w:val="24"/>
      <w:szCs w:val="24"/>
      <w:lang w:eastAsia="tr-TR"/>
    </w:rPr>
  </w:style>
  <w:style w:type="character" w:customStyle="1" w:styleId="Balk8Char">
    <w:name w:val="Başlık 8 Char"/>
    <w:basedOn w:val="VarsaylanParagrafYazTipi"/>
    <w:link w:val="Balk8"/>
    <w:rsid w:val="00E12406"/>
    <w:rPr>
      <w:b/>
      <w:bCs/>
      <w:sz w:val="28"/>
      <w:szCs w:val="28"/>
      <w:lang w:eastAsia="tr-TR"/>
    </w:rPr>
  </w:style>
  <w:style w:type="character" w:customStyle="1" w:styleId="Balk9Char">
    <w:name w:val="Başlık 9 Char"/>
    <w:basedOn w:val="VarsaylanParagrafYazTipi"/>
    <w:link w:val="Balk9"/>
    <w:rsid w:val="00E12406"/>
    <w:rPr>
      <w:b/>
      <w:bCs/>
      <w:sz w:val="24"/>
      <w:szCs w:val="24"/>
      <w:lang w:eastAsia="tr-TR"/>
    </w:rPr>
  </w:style>
  <w:style w:type="paragraph" w:styleId="KonuBal">
    <w:name w:val="Title"/>
    <w:basedOn w:val="Normal"/>
    <w:link w:val="KonuBalChar1"/>
    <w:qFormat/>
    <w:rsid w:val="00211B55"/>
    <w:pPr>
      <w:widowControl w:val="0"/>
      <w:jc w:val="center"/>
    </w:pPr>
    <w:rPr>
      <w:rFonts w:cs="Times New Roman"/>
      <w:b/>
      <w:bCs/>
      <w:snapToGrid w:val="0"/>
    </w:rPr>
  </w:style>
  <w:style w:type="character" w:customStyle="1" w:styleId="KonuBalChar">
    <w:name w:val="Konu Başlığı Char"/>
    <w:basedOn w:val="VarsaylanParagrafYazTipi"/>
    <w:rsid w:val="002A566B"/>
    <w:rPr>
      <w:b/>
      <w:bCs/>
      <w:snapToGrid w:val="0"/>
      <w:sz w:val="24"/>
      <w:szCs w:val="24"/>
      <w:lang w:eastAsia="tr-TR"/>
    </w:rPr>
  </w:style>
  <w:style w:type="paragraph" w:customStyle="1" w:styleId="msoheadng7">
    <w:name w:val="msoheadıng7"/>
    <w:basedOn w:val="Normal"/>
    <w:next w:val="Normal"/>
    <w:uiPriority w:val="99"/>
    <w:rsid w:val="00E12406"/>
    <w:pPr>
      <w:keepNext/>
      <w:jc w:val="center"/>
      <w:outlineLvl w:val="6"/>
    </w:pPr>
    <w:rPr>
      <w:b/>
      <w:bCs/>
      <w:sz w:val="20"/>
      <w:szCs w:val="20"/>
    </w:rPr>
  </w:style>
  <w:style w:type="paragraph" w:customStyle="1" w:styleId="msoheadng8">
    <w:name w:val="msoheadıng8"/>
    <w:basedOn w:val="Normal"/>
    <w:next w:val="Normal"/>
    <w:uiPriority w:val="99"/>
    <w:rsid w:val="00E12406"/>
    <w:pPr>
      <w:keepNext/>
      <w:ind w:firstLine="567"/>
      <w:jc w:val="both"/>
      <w:outlineLvl w:val="7"/>
    </w:pPr>
    <w:rPr>
      <w:b/>
      <w:bCs/>
    </w:rPr>
  </w:style>
  <w:style w:type="paragraph" w:customStyle="1" w:styleId="msoheadng9">
    <w:name w:val="msoheadıng9"/>
    <w:basedOn w:val="Normal"/>
    <w:next w:val="Normal"/>
    <w:uiPriority w:val="99"/>
    <w:rsid w:val="00E12406"/>
    <w:pPr>
      <w:spacing w:before="240" w:after="60"/>
      <w:outlineLvl w:val="8"/>
    </w:pPr>
    <w:rPr>
      <w:sz w:val="22"/>
      <w:szCs w:val="22"/>
    </w:rPr>
  </w:style>
  <w:style w:type="paragraph" w:customStyle="1" w:styleId="msottle">
    <w:name w:val="msotıtle"/>
    <w:basedOn w:val="Normal"/>
    <w:uiPriority w:val="99"/>
    <w:rsid w:val="00E12406"/>
    <w:pPr>
      <w:jc w:val="center"/>
    </w:pPr>
    <w:rPr>
      <w:rFonts w:ascii="Arial Narrow" w:hAnsi="Arial Narrow"/>
      <w:b/>
    </w:rPr>
  </w:style>
  <w:style w:type="paragraph" w:customStyle="1" w:styleId="msosubttle">
    <w:name w:val="msosubtıtle"/>
    <w:basedOn w:val="Normal"/>
    <w:uiPriority w:val="99"/>
    <w:rsid w:val="00E12406"/>
    <w:pPr>
      <w:jc w:val="center"/>
    </w:pPr>
    <w:rPr>
      <w:b/>
      <w:bCs/>
    </w:rPr>
  </w:style>
  <w:style w:type="character" w:customStyle="1" w:styleId="Balk1Char1">
    <w:name w:val="Başlık 1 Char1"/>
    <w:basedOn w:val="VarsaylanParagrafYazTipi"/>
    <w:link w:val="Balk1"/>
    <w:locked/>
    <w:rsid w:val="00E12406"/>
    <w:rPr>
      <w:b/>
      <w:bCs/>
      <w:kern w:val="32"/>
      <w:sz w:val="32"/>
      <w:szCs w:val="32"/>
      <w:lang w:eastAsia="tr-TR"/>
    </w:rPr>
  </w:style>
  <w:style w:type="character" w:customStyle="1" w:styleId="KonuBalChar1">
    <w:name w:val="Konu Başlığı Char1"/>
    <w:basedOn w:val="VarsaylanParagrafYazTipi"/>
    <w:link w:val="KonuBal"/>
    <w:locked/>
    <w:rsid w:val="00E12406"/>
    <w:rPr>
      <w:b/>
      <w:bCs/>
      <w:snapToGrid w:val="0"/>
      <w:sz w:val="24"/>
      <w:szCs w:val="24"/>
      <w:lang w:eastAsia="tr-TR"/>
    </w:rPr>
  </w:style>
  <w:style w:type="paragraph" w:styleId="Altyaz">
    <w:name w:val="Subtitle"/>
    <w:aliases w:val=" Char,Char"/>
    <w:basedOn w:val="Normal"/>
    <w:link w:val="AltyazChar"/>
    <w:uiPriority w:val="11"/>
    <w:qFormat/>
    <w:rsid w:val="00E12406"/>
    <w:pPr>
      <w:spacing w:after="60"/>
      <w:jc w:val="center"/>
      <w:outlineLvl w:val="1"/>
    </w:pPr>
    <w:rPr>
      <w:rFonts w:asciiTheme="majorHAnsi" w:eastAsiaTheme="majorEastAsia" w:hAnsiTheme="majorHAnsi" w:cstheme="majorBidi"/>
    </w:rPr>
  </w:style>
  <w:style w:type="character" w:customStyle="1" w:styleId="AltyazChar">
    <w:name w:val="Altyazı Char"/>
    <w:aliases w:val=" Char Char,Char Char"/>
    <w:basedOn w:val="VarsaylanParagrafYazTipi"/>
    <w:link w:val="Altyaz"/>
    <w:uiPriority w:val="11"/>
    <w:rsid w:val="00E12406"/>
    <w:rPr>
      <w:rFonts w:asciiTheme="majorHAnsi" w:eastAsiaTheme="majorEastAsia" w:hAnsiTheme="majorHAnsi" w:cstheme="majorBidi"/>
      <w:sz w:val="24"/>
      <w:szCs w:val="24"/>
      <w:lang w:eastAsia="tr-TR"/>
    </w:rPr>
  </w:style>
  <w:style w:type="character" w:styleId="Gl">
    <w:name w:val="Strong"/>
    <w:basedOn w:val="VarsaylanParagrafYazTipi"/>
    <w:uiPriority w:val="22"/>
    <w:qFormat/>
    <w:rsid w:val="00E12406"/>
    <w:rPr>
      <w:b/>
      <w:bCs/>
    </w:rPr>
  </w:style>
  <w:style w:type="paragraph" w:styleId="AralkYok">
    <w:name w:val="No Spacing"/>
    <w:uiPriority w:val="1"/>
    <w:qFormat/>
    <w:rsid w:val="00E12406"/>
    <w:rPr>
      <w:rFonts w:eastAsia="Calibri"/>
      <w:sz w:val="24"/>
      <w:szCs w:val="24"/>
      <w:lang w:eastAsia="tr-TR"/>
    </w:rPr>
  </w:style>
  <w:style w:type="paragraph" w:styleId="ListeParagraf">
    <w:name w:val="List Paragraph"/>
    <w:basedOn w:val="Normal"/>
    <w:uiPriority w:val="34"/>
    <w:qFormat/>
    <w:rsid w:val="00E12406"/>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266</Words>
  <Characters>1522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 – ASSET GÜMRÜK MÜŞAVİRLİĞİ / İSTANBUL</cp:lastModifiedBy>
  <cp:revision>2</cp:revision>
  <dcterms:created xsi:type="dcterms:W3CDTF">2017-11-28T14:03:00Z</dcterms:created>
  <dcterms:modified xsi:type="dcterms:W3CDTF">2017-11-28T14:03:00Z</dcterms:modified>
</cp:coreProperties>
</file>