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2B1C5A" w:rsidRPr="002B1C5A" w:rsidTr="002B1C5A">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2B1C5A" w:rsidRPr="002B1C5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2B1C5A" w:rsidRPr="002B1C5A">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2B1C5A" w:rsidRPr="002B1C5A">
                          <w:tc>
                            <w:tcPr>
                              <w:tcW w:w="0" w:type="auto"/>
                              <w:vAlign w:val="center"/>
                              <w:hideMark/>
                            </w:tcPr>
                            <w:p w:rsidR="002B1C5A" w:rsidRPr="002B1C5A" w:rsidRDefault="002B1C5A" w:rsidP="002B1C5A">
                              <w:pPr>
                                <w:spacing w:after="0" w:line="240" w:lineRule="auto"/>
                                <w:jc w:val="center"/>
                                <w:rPr>
                                  <w:rFonts w:ascii="Verdana" w:eastAsia="Times New Roman" w:hAnsi="Verdana" w:cs="Times New Roman"/>
                                  <w:b/>
                                  <w:bCs/>
                                  <w:color w:val="9CA4BE"/>
                                  <w:sz w:val="18"/>
                                  <w:szCs w:val="18"/>
                                  <w:lang w:eastAsia="tr-TR"/>
                                </w:rPr>
                              </w:pPr>
                              <w:r w:rsidRPr="002B1C5A">
                                <w:rPr>
                                  <w:rFonts w:ascii="Verdana" w:eastAsia="Times New Roman" w:hAnsi="Verdana" w:cs="Times New Roman"/>
                                  <w:b/>
                                  <w:bCs/>
                                  <w:color w:val="9CA4BE"/>
                                  <w:sz w:val="18"/>
                                  <w:szCs w:val="18"/>
                                  <w:lang w:eastAsia="tr-TR"/>
                                </w:rPr>
                                <w:t>Gümrük Yönetmeliğinde Değişiklik Yapılmasına Dair Yönetmelik (07.10.2016 T. 29850 R.G.)</w:t>
                              </w:r>
                            </w:p>
                          </w:tc>
                        </w:tr>
                        <w:tr w:rsidR="002B1C5A" w:rsidRPr="002B1C5A">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B1C5A" w:rsidRPr="002B1C5A">
                                <w:trPr>
                                  <w:tblCellSpacing w:w="15" w:type="dxa"/>
                                </w:trPr>
                                <w:tc>
                                  <w:tcPr>
                                    <w:tcW w:w="0" w:type="auto"/>
                                    <w:vAlign w:val="center"/>
                                    <w:hideMark/>
                                  </w:tcPr>
                                  <w:p w:rsidR="002B1C5A" w:rsidRPr="002B1C5A" w:rsidRDefault="002B1C5A" w:rsidP="002B1C5A">
                                    <w:pPr>
                                      <w:spacing w:after="0" w:line="240" w:lineRule="auto"/>
                                      <w:rPr>
                                        <w:rFonts w:ascii="Times New Roman" w:eastAsia="Times New Roman" w:hAnsi="Times New Roman" w:cs="Times New Roman"/>
                                        <w:sz w:val="24"/>
                                        <w:szCs w:val="24"/>
                                        <w:lang w:eastAsia="tr-TR"/>
                                      </w:rPr>
                                    </w:pPr>
                                  </w:p>
                                </w:tc>
                              </w:tr>
                            </w:tbl>
                            <w:p w:rsidR="002B1C5A" w:rsidRPr="002B1C5A" w:rsidRDefault="002B1C5A" w:rsidP="002B1C5A">
                              <w:pPr>
                                <w:spacing w:after="0" w:line="240" w:lineRule="auto"/>
                                <w:rPr>
                                  <w:rFonts w:ascii="Times New Roman" w:eastAsia="Times New Roman" w:hAnsi="Times New Roman" w:cs="Times New Roman"/>
                                  <w:sz w:val="24"/>
                                  <w:szCs w:val="24"/>
                                  <w:lang w:eastAsia="tr-TR"/>
                                </w:rPr>
                              </w:pPr>
                            </w:p>
                          </w:tc>
                        </w:tr>
                        <w:tr w:rsidR="002B1C5A" w:rsidRPr="002B1C5A">
                          <w:tc>
                            <w:tcPr>
                              <w:tcW w:w="0" w:type="auto"/>
                              <w:tcMar>
                                <w:top w:w="300" w:type="dxa"/>
                                <w:left w:w="150" w:type="dxa"/>
                                <w:bottom w:w="0" w:type="dxa"/>
                                <w:right w:w="150" w:type="dxa"/>
                              </w:tcMar>
                              <w:vAlign w:val="center"/>
                              <w:hideMark/>
                            </w:tcPr>
                            <w:p w:rsidR="002B1C5A" w:rsidRPr="002B1C5A" w:rsidRDefault="002B1C5A" w:rsidP="002B1C5A">
                              <w:pPr>
                                <w:spacing w:after="0" w:line="240" w:lineRule="atLeast"/>
                                <w:ind w:firstLine="566"/>
                                <w:jc w:val="both"/>
                                <w:rPr>
                                  <w:rFonts w:ascii="Times New Roman" w:eastAsia="Times New Roman" w:hAnsi="Times New Roman" w:cs="Times New Roman"/>
                                  <w:color w:val="000000"/>
                                  <w:u w:val="single"/>
                                  <w:lang w:eastAsia="tr-TR"/>
                                </w:rPr>
                              </w:pPr>
                              <w:r w:rsidRPr="002B1C5A">
                                <w:rPr>
                                  <w:rFonts w:ascii="Verdana" w:eastAsia="Times New Roman" w:hAnsi="Verdana" w:cs="Times New Roman"/>
                                  <w:color w:val="000000"/>
                                  <w:sz w:val="20"/>
                                  <w:szCs w:val="20"/>
                                  <w:u w:val="single"/>
                                  <w:lang w:eastAsia="tr-TR"/>
                                </w:rPr>
                                <w:t>Gümrük ve Ticaret Bakanlığından:</w:t>
                              </w:r>
                            </w:p>
                            <w:p w:rsidR="002B1C5A" w:rsidRPr="002B1C5A" w:rsidRDefault="002B1C5A" w:rsidP="002B1C5A">
                              <w:pPr>
                                <w:spacing w:before="56" w:after="0" w:line="240" w:lineRule="atLeast"/>
                                <w:jc w:val="center"/>
                                <w:rPr>
                                  <w:rFonts w:ascii="Times New Roman" w:eastAsia="Times New Roman" w:hAnsi="Times New Roman" w:cs="Times New Roman"/>
                                  <w:b/>
                                  <w:bCs/>
                                  <w:color w:val="000000"/>
                                  <w:sz w:val="19"/>
                                  <w:szCs w:val="19"/>
                                  <w:lang w:eastAsia="tr-TR"/>
                                </w:rPr>
                              </w:pPr>
                              <w:r w:rsidRPr="002B1C5A">
                                <w:rPr>
                                  <w:rFonts w:ascii="Verdana" w:eastAsia="Times New Roman" w:hAnsi="Verdana" w:cs="Times New Roman"/>
                                  <w:b/>
                                  <w:bCs/>
                                  <w:color w:val="000000"/>
                                  <w:sz w:val="20"/>
                                  <w:szCs w:val="20"/>
                                  <w:lang w:eastAsia="tr-TR"/>
                                </w:rPr>
                                <w:t>GÜMRÜK YÖNETMELİĞİNDE DEĞİŞİKLİK YAPILMASINA</w:t>
                              </w:r>
                            </w:p>
                            <w:p w:rsidR="002B1C5A" w:rsidRPr="002B1C5A" w:rsidRDefault="002B1C5A" w:rsidP="002B1C5A">
                              <w:pPr>
                                <w:spacing w:after="170" w:line="240" w:lineRule="atLeast"/>
                                <w:jc w:val="center"/>
                                <w:rPr>
                                  <w:rFonts w:ascii="Times New Roman" w:eastAsia="Times New Roman" w:hAnsi="Times New Roman" w:cs="Times New Roman"/>
                                  <w:b/>
                                  <w:bCs/>
                                  <w:color w:val="000000"/>
                                  <w:sz w:val="19"/>
                                  <w:szCs w:val="19"/>
                                  <w:lang w:eastAsia="tr-TR"/>
                                </w:rPr>
                              </w:pPr>
                              <w:r w:rsidRPr="002B1C5A">
                                <w:rPr>
                                  <w:rFonts w:ascii="Verdana" w:eastAsia="Times New Roman" w:hAnsi="Verdana" w:cs="Times New Roman"/>
                                  <w:b/>
                                  <w:bCs/>
                                  <w:color w:val="000000"/>
                                  <w:sz w:val="20"/>
                                  <w:szCs w:val="20"/>
                                  <w:lang w:eastAsia="tr-TR"/>
                                </w:rPr>
                                <w:t>DAİR YÖNETMELİK</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b/>
                                  <w:bCs/>
                                  <w:color w:val="000000"/>
                                  <w:sz w:val="18"/>
                                  <w:szCs w:val="18"/>
                                  <w:lang w:eastAsia="tr-TR"/>
                                </w:rPr>
                                <w:t>MADDE 1 –</w:t>
                              </w:r>
                              <w:r w:rsidRPr="002B1C5A">
                                <w:rPr>
                                  <w:rFonts w:ascii="Verdana" w:eastAsia="Times New Roman" w:hAnsi="Verdana" w:cs="Times New Roman"/>
                                  <w:color w:val="000000"/>
                                  <w:sz w:val="18"/>
                                  <w:szCs w:val="18"/>
                                  <w:lang w:eastAsia="tr-TR"/>
                                </w:rPr>
                                <w:t> </w:t>
                              </w:r>
                              <w:proofErr w:type="gramStart"/>
                              <w:r w:rsidRPr="002B1C5A">
                                <w:rPr>
                                  <w:rFonts w:ascii="Verdana" w:eastAsia="Times New Roman" w:hAnsi="Verdana" w:cs="Times New Roman"/>
                                  <w:color w:val="000000"/>
                                  <w:sz w:val="18"/>
                                  <w:szCs w:val="18"/>
                                  <w:lang w:eastAsia="tr-TR"/>
                                </w:rPr>
                                <w:t>7/10/2009</w:t>
                              </w:r>
                              <w:proofErr w:type="gramEnd"/>
                              <w:r w:rsidRPr="002B1C5A">
                                <w:rPr>
                                  <w:rFonts w:ascii="Verdana" w:eastAsia="Times New Roman" w:hAnsi="Verdana" w:cs="Times New Roman"/>
                                  <w:color w:val="000000"/>
                                  <w:sz w:val="18"/>
                                  <w:szCs w:val="18"/>
                                  <w:lang w:eastAsia="tr-TR"/>
                                </w:rPr>
                                <w:t xml:space="preserve"> tarihli ve 27369 mükerrer sayılı Resmî </w:t>
                              </w:r>
                              <w:proofErr w:type="spellStart"/>
                              <w:r w:rsidRPr="002B1C5A">
                                <w:rPr>
                                  <w:rFonts w:ascii="Verdana" w:eastAsia="Times New Roman" w:hAnsi="Verdana" w:cs="Times New Roman"/>
                                  <w:color w:val="000000"/>
                                  <w:sz w:val="18"/>
                                  <w:szCs w:val="18"/>
                                  <w:lang w:eastAsia="tr-TR"/>
                                </w:rPr>
                                <w:t>Gazete’de</w:t>
                              </w:r>
                              <w:proofErr w:type="spellEnd"/>
                              <w:r w:rsidRPr="002B1C5A">
                                <w:rPr>
                                  <w:rFonts w:ascii="Verdana" w:eastAsia="Times New Roman" w:hAnsi="Verdana" w:cs="Times New Roman"/>
                                  <w:color w:val="000000"/>
                                  <w:sz w:val="18"/>
                                  <w:szCs w:val="18"/>
                                  <w:lang w:eastAsia="tr-TR"/>
                                </w:rPr>
                                <w:t xml:space="preserve"> yayımlanan Gümrük Yönetmeliğinin 22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maddesinin birinci fıkrasında yer alan “</w:t>
                              </w:r>
                              <w:r w:rsidRPr="002B1C5A">
                                <w:rPr>
                                  <w:rFonts w:ascii="Verdana" w:eastAsia="Times New Roman" w:hAnsi="Verdana" w:cs="Times New Roman"/>
                                  <w:color w:val="FF0000"/>
                                  <w:sz w:val="18"/>
                                  <w:szCs w:val="18"/>
                                  <w:highlight w:val="yellow"/>
                                  <w:lang w:eastAsia="tr-TR"/>
                                </w:rPr>
                                <w:t>A, B veya C sınıfı”  ibaresi yürürlükten kaldırılmıştır.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 –</w:t>
                              </w:r>
                              <w:r w:rsidRPr="002B1C5A">
                                <w:rPr>
                                  <w:rFonts w:ascii="Verdana" w:eastAsia="Times New Roman" w:hAnsi="Verdana" w:cs="Times New Roman"/>
                                  <w:color w:val="000000"/>
                                  <w:sz w:val="18"/>
                                  <w:szCs w:val="18"/>
                                  <w:lang w:eastAsia="tr-TR"/>
                                </w:rPr>
                                <w:t> Aynı Yönetmeliğin 22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maddesinin ikinci fıkrası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“(2) 24 üncü maddede belirtilen devir, birleşme veya kısmi bölünme hallerinde onaylanmış kişi statü belgesi başvurusunda bulunacak kişilerden birinci fıkrada belirtilen en az iki yıldır fiilen faaliyette bulunma koşulu aranmaz.”</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 –</w:t>
                              </w:r>
                              <w:r w:rsidRPr="002B1C5A">
                                <w:rPr>
                                  <w:rFonts w:ascii="Verdana" w:eastAsia="Times New Roman" w:hAnsi="Verdana" w:cs="Times New Roman"/>
                                  <w:color w:val="000000"/>
                                  <w:sz w:val="18"/>
                                  <w:szCs w:val="18"/>
                                  <w:lang w:eastAsia="tr-TR"/>
                                </w:rPr>
                                <w:t> Aynı Yönetmeliğin 23 üncü maddesinin birinci fıkrasının (ğ) bendi ile beşinci fıkrası yürürlükten kaldırılmış, dördüncü fıkrada yer alan “birinci, ikinci ve üçüncü fıkralarının (a) bentlerinde” ibaresi “birinci fıkrasının (a) bendinde” olarak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4 –</w:t>
                              </w:r>
                              <w:r w:rsidRPr="002B1C5A">
                                <w:rPr>
                                  <w:rFonts w:ascii="Verdana" w:eastAsia="Times New Roman" w:hAnsi="Verdana" w:cs="Times New Roman"/>
                                  <w:color w:val="000000"/>
                                  <w:sz w:val="18"/>
                                  <w:szCs w:val="18"/>
                                  <w:lang w:eastAsia="tr-TR"/>
                                </w:rPr>
                                <w:t> Aynı Yönetmeliğin 23 üncü maddesinin birinci fıkrasının (b), (c), (ç) ve (h) bentleri ile yedinci fıkrasında yer alan “Başvurunun kayda alındığı” ibaresi “Yetkilendirilmiş gümrük müşaviriyle onaylanmış kişi statüsü başvurusunun ön incelemesi için sözleşme yapıldığı” ibaresi olarak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5 –</w:t>
                              </w:r>
                              <w:r w:rsidRPr="002B1C5A">
                                <w:rPr>
                                  <w:rFonts w:ascii="Verdana" w:eastAsia="Times New Roman" w:hAnsi="Verdana" w:cs="Times New Roman"/>
                                  <w:color w:val="000000"/>
                                  <w:sz w:val="18"/>
                                  <w:szCs w:val="18"/>
                                  <w:lang w:eastAsia="tr-TR"/>
                                </w:rPr>
                                <w:t> Aynı Yönetmeliğin 24 üncü maddesi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b/>
                                  <w:bCs/>
                                  <w:color w:val="000000"/>
                                  <w:sz w:val="20"/>
                                  <w:szCs w:val="20"/>
                                  <w:lang w:eastAsia="tr-TR"/>
                                </w:rPr>
                                <w:t>MADDE 24 –</w:t>
                              </w:r>
                              <w:r w:rsidRPr="002B1C5A">
                                <w:rPr>
                                  <w:rFonts w:ascii="Verdana" w:eastAsia="Times New Roman" w:hAnsi="Verdana" w:cs="Times New Roman"/>
                                  <w:color w:val="000000"/>
                                  <w:sz w:val="20"/>
                                  <w:szCs w:val="20"/>
                                  <w:lang w:eastAsia="tr-TR"/>
                                </w:rPr>
                                <w:t> (1) Onaylanmış kişi statüsü için başvuruda bulunan kişilerin 23 üncü maddede belirtilen genel koşullara ek olarak aşağıdaki özel koşulları da sağlaması gerekir: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a) Dış ticaret performansına ilişkin olarak aşağıdaki koşullardan en az birinin sağlanması:</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1) Yetkilendirilmiş gümrük müşaviriyle onaylanmış kişi statüsü başvurusunun ön incelemesi için sözleşme yapıldığı ayın ilk gününden geriye dönük iki yıl içerisinde, on ikişer aylık iki dönem ayrı ayrı olmak üzere, herhangi bir dönem içerisinde asgari bir milyon FOB/ABD doları tutarında fiili ihracat yapılmış olması,</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2) Yetkilendirilmiş gümrük müşaviriyle onaylanmış kişi statüsü başvurusunun ön incelemesi için sözleşme yapıldığı ayın ilk gününden geriye dönük iki yıl içerisinde, on ikişer aylık iki dönem ayrı ayrı olmak üzere, herhangi bir dönem içerisinde gerçekleştirilen ithalat ve fiili ihracat toplamının asgari altı milyon ABD doları tutarında olması.</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b) Yetkilendirilmiş gümrük müşaviriyle onaylanmış kişi statüsü başvurusunun ön incelemesi için sözleşme yapıldığı tarihten geriye dönük bir ay içinde en az on beş işçi istihdam ediyor olması.</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B1C5A">
                                <w:rPr>
                                  <w:rFonts w:ascii="Verdana" w:eastAsia="Times New Roman" w:hAnsi="Verdana" w:cs="Times New Roman"/>
                                  <w:color w:val="000000"/>
                                  <w:sz w:val="18"/>
                                  <w:szCs w:val="18"/>
                                  <w:lang w:eastAsia="tr-TR"/>
                                </w:rPr>
                                <w:t>(2) Dış ticaret sermaye şirketleri, </w:t>
                              </w:r>
                              <w:proofErr w:type="spellStart"/>
                              <w:r w:rsidRPr="002B1C5A">
                                <w:rPr>
                                  <w:rFonts w:ascii="Verdana" w:eastAsia="Times New Roman" w:hAnsi="Verdana" w:cs="Times New Roman"/>
                                  <w:color w:val="000000"/>
                                  <w:sz w:val="18"/>
                                  <w:szCs w:val="18"/>
                                  <w:lang w:eastAsia="tr-TR"/>
                                </w:rPr>
                                <w:t>sektörel</w:t>
                              </w:r>
                              <w:proofErr w:type="spellEnd"/>
                              <w:r w:rsidRPr="002B1C5A">
                                <w:rPr>
                                  <w:rFonts w:ascii="Verdana" w:eastAsia="Times New Roman" w:hAnsi="Verdana" w:cs="Times New Roman"/>
                                  <w:color w:val="000000"/>
                                  <w:sz w:val="18"/>
                                  <w:szCs w:val="18"/>
                                  <w:lang w:eastAsia="tr-TR"/>
                                </w:rPr>
                                <w:t> dış ticaret şirketleri ve/veya grup ihracatçısı aracılığıyla ihracat yapılması durumunda, bağlı bulunulan ihracatçı birliği kayıtlarına göre Türkiye İhracatçılar Meclisi veya ihracatçı birliklerince onaylı belgede kayıtlı ihracat tutarlarından dış ticaret sermaye şirketleri, </w:t>
                              </w:r>
                              <w:proofErr w:type="spellStart"/>
                              <w:r w:rsidRPr="002B1C5A">
                                <w:rPr>
                                  <w:rFonts w:ascii="Verdana" w:eastAsia="Times New Roman" w:hAnsi="Verdana" w:cs="Times New Roman"/>
                                  <w:color w:val="000000"/>
                                  <w:sz w:val="18"/>
                                  <w:szCs w:val="18"/>
                                  <w:lang w:eastAsia="tr-TR"/>
                                </w:rPr>
                                <w:t>sektörel</w:t>
                              </w:r>
                              <w:proofErr w:type="spellEnd"/>
                              <w:r w:rsidRPr="002B1C5A">
                                <w:rPr>
                                  <w:rFonts w:ascii="Verdana" w:eastAsia="Times New Roman" w:hAnsi="Verdana" w:cs="Times New Roman"/>
                                  <w:color w:val="000000"/>
                                  <w:sz w:val="18"/>
                                  <w:szCs w:val="18"/>
                                  <w:lang w:eastAsia="tr-TR"/>
                                </w:rPr>
                                <w:t> dış ticaret şirketleri ve/veya grup ihracatçısı aracılığıyla yapıldığı tespit edilen ihracat tutarları da imalatçı kişinin ihracatı olarak kabul edilir ve imalatçı kişinin başvurusunda dikkate alınır.</w:t>
                              </w:r>
                              <w:proofErr w:type="gramEnd"/>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(3) Dış ticaret sermaye şirketleri ile </w:t>
                              </w:r>
                              <w:proofErr w:type="spellStart"/>
                              <w:r w:rsidRPr="002B1C5A">
                                <w:rPr>
                                  <w:rFonts w:ascii="Verdana" w:eastAsia="Times New Roman" w:hAnsi="Verdana" w:cs="Times New Roman"/>
                                  <w:color w:val="000000"/>
                                  <w:sz w:val="20"/>
                                  <w:szCs w:val="20"/>
                                  <w:lang w:eastAsia="tr-TR"/>
                                </w:rPr>
                                <w:t>sektörel</w:t>
                              </w:r>
                              <w:proofErr w:type="spellEnd"/>
                              <w:r w:rsidRPr="002B1C5A">
                                <w:rPr>
                                  <w:rFonts w:ascii="Verdana" w:eastAsia="Times New Roman" w:hAnsi="Verdana" w:cs="Times New Roman"/>
                                  <w:color w:val="000000"/>
                                  <w:sz w:val="20"/>
                                  <w:szCs w:val="20"/>
                                  <w:lang w:eastAsia="tr-TR"/>
                                </w:rPr>
                                <w:t> dış ticaret şirketleri için bu maddede sayılan özel koşullar aranmaz.</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(4) Grup ihracatçıları ve grup ithalatçıları için birinci fıkranın (b) bendinde belirtilen özel koşul aranmaz. Ancak, grup ihracatçıları veya grup ithalatçıları tarafından yapılan başvurularda, dış ticaret işlemlerinde adlarına aracılık yapıldığı bildirilen grup imalatçıları tarafından birinci fıkranın (b) bendinde yer alan koşulun sağlanması zorunludur. Bu koşulun sağlanmasında, grup imalatçılarının sigortalı çalışan sayıları toplamı dikkate alınır.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B1C5A">
                                <w:rPr>
                                  <w:rFonts w:ascii="Verdana" w:eastAsia="Times New Roman" w:hAnsi="Verdana" w:cs="Times New Roman"/>
                                  <w:color w:val="000000"/>
                                  <w:sz w:val="18"/>
                                  <w:szCs w:val="18"/>
                                  <w:lang w:eastAsia="tr-TR"/>
                                </w:rPr>
                                <w:t xml:space="preserve">(5) Onaylanmış kişi statü belgesi sahibinin, devir veya birleşme suretiyle tüzel kişiliğinin sona ermesi durumunda yeni kurulan ya da onaylanmış kişi statü belgesi sahibi firmayı devralan tüzel kişiliğin onaylanmış kişi statü belgesi talebinin bu madde uyarınca özel koşullar açısından </w:t>
                              </w:r>
                              <w:r w:rsidRPr="002B1C5A">
                                <w:rPr>
                                  <w:rFonts w:ascii="Verdana" w:eastAsia="Times New Roman" w:hAnsi="Verdana" w:cs="Times New Roman"/>
                                  <w:color w:val="000000"/>
                                  <w:sz w:val="18"/>
                                  <w:szCs w:val="18"/>
                                  <w:lang w:eastAsia="tr-TR"/>
                                </w:rPr>
                                <w:lastRenderedPageBreak/>
                                <w:t>değerlendirilmesinde talep halinde tüzel kişiliği sona eren firmanın dış ticaret performansı da dikkate alınır. </w:t>
                              </w:r>
                              <w:proofErr w:type="gramEnd"/>
                              <w:r w:rsidRPr="002B1C5A">
                                <w:rPr>
                                  <w:rFonts w:ascii="Verdana" w:eastAsia="Times New Roman" w:hAnsi="Verdana" w:cs="Times New Roman"/>
                                  <w:color w:val="000000"/>
                                  <w:sz w:val="18"/>
                                  <w:szCs w:val="18"/>
                                  <w:lang w:eastAsia="tr-TR"/>
                                </w:rPr>
                                <w:t>Bu durumda tüzel kişiliği sona eren firmanın 23 üncü maddenin birinci fıkrasının (b), (c) ve (ç) bentlerinde yer alan ihlallere ilişkin ceza kararı sayıları da statü belgesi talebinde bulunan kişi adına düzenlenmiş ceza kararları ile birlikte değerlendirilir.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B1C5A">
                                <w:rPr>
                                  <w:rFonts w:ascii="Verdana" w:eastAsia="Times New Roman" w:hAnsi="Verdana" w:cs="Times New Roman"/>
                                  <w:color w:val="000000"/>
                                  <w:sz w:val="18"/>
                                  <w:szCs w:val="18"/>
                                  <w:lang w:eastAsia="tr-TR"/>
                                </w:rPr>
                                <w:t>(6) Onaylanmış kişi statü belgesi sahibi şirketin malvarlığının bir veya birden fazla bölümünü yeni kurulacak bir şirkete kısmi bölünme suretiyle devretmesi halinde, idaresi ve murakabesi ve/veya sermayesi bakımından belge sahibi şirketle yeni kurulan şirket arasında vasıtalı veya vasıtasız şirket ilişkisi bulunması koşuluyla, devralan tüzel kişiliğin onaylanmış kişi statü belgesi talebinin bu madde uyarınca özel koşullar açısından değerlendirilmesinde talep halinde belge sahibi firmanın dış ticaret performansı da dikkate alınır. </w:t>
                              </w:r>
                              <w:proofErr w:type="gramEnd"/>
                              <w:r w:rsidRPr="002B1C5A">
                                <w:rPr>
                                  <w:rFonts w:ascii="Verdana" w:eastAsia="Times New Roman" w:hAnsi="Verdana" w:cs="Times New Roman"/>
                                  <w:color w:val="000000"/>
                                  <w:sz w:val="18"/>
                                  <w:szCs w:val="18"/>
                                  <w:lang w:eastAsia="tr-TR"/>
                                </w:rPr>
                                <w:t>Bu durumda belge sahibi firmanın 23 üncü maddenin birinci fıkrasının (b), (c) ve (ç) bentlerinde yer alan ihlallere ilişkin ceza kararı sayıları da statü belgesi talebinde bulunan kişi adına düzenlenmiş ceza kararları ile birlikte değerlendirilir. Aynı maddenin birinci fıkrasının (h) bendinde belirtilen genel koşulun sağlanıp sağlanmadığının tevsikinde ise belge sahibi firmanın mali yapısı esas alınır.”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6 –</w:t>
                              </w:r>
                              <w:r w:rsidRPr="002B1C5A">
                                <w:rPr>
                                  <w:rFonts w:ascii="Verdana" w:eastAsia="Times New Roman" w:hAnsi="Verdana" w:cs="Times New Roman"/>
                                  <w:color w:val="000000"/>
                                  <w:sz w:val="18"/>
                                  <w:szCs w:val="18"/>
                                  <w:lang w:eastAsia="tr-TR"/>
                                </w:rPr>
                                <w:t> Aynı Yönetmeliğin 25 inci maddesinin üçüncü fıkrasında yer alan “A, B veya C sınıfı” ibaresi ile dördüncü fıkrası yürürlükten kaldırılmıştır.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7 – </w:t>
                              </w:r>
                              <w:r w:rsidRPr="002B1C5A">
                                <w:rPr>
                                  <w:rFonts w:ascii="Verdana" w:eastAsia="Times New Roman" w:hAnsi="Verdana" w:cs="Times New Roman"/>
                                  <w:color w:val="000000"/>
                                  <w:sz w:val="18"/>
                                  <w:szCs w:val="18"/>
                                  <w:lang w:eastAsia="tr-TR"/>
                                </w:rPr>
                                <w:t>Aynı Yönetmeliğin 26 </w:t>
                              </w:r>
                              <w:proofErr w:type="spellStart"/>
                              <w:r w:rsidRPr="002B1C5A">
                                <w:rPr>
                                  <w:rFonts w:ascii="Verdana" w:eastAsia="Times New Roman" w:hAnsi="Verdana" w:cs="Times New Roman"/>
                                  <w:color w:val="000000"/>
                                  <w:sz w:val="18"/>
                                  <w:szCs w:val="18"/>
                                  <w:lang w:eastAsia="tr-TR"/>
                                </w:rPr>
                                <w:t>ncı</w:t>
                              </w:r>
                              <w:proofErr w:type="spellEnd"/>
                              <w:r w:rsidRPr="002B1C5A">
                                <w:rPr>
                                  <w:rFonts w:ascii="Verdana" w:eastAsia="Times New Roman" w:hAnsi="Verdana" w:cs="Times New Roman"/>
                                  <w:color w:val="000000"/>
                                  <w:sz w:val="18"/>
                                  <w:szCs w:val="18"/>
                                  <w:lang w:eastAsia="tr-TR"/>
                                </w:rPr>
                                <w:t> maddesinin üçüncü fıkrası yürürlükten kaldırılmıştır.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8 –</w:t>
                              </w:r>
                              <w:r w:rsidRPr="002B1C5A">
                                <w:rPr>
                                  <w:rFonts w:ascii="Verdana" w:eastAsia="Times New Roman" w:hAnsi="Verdana" w:cs="Times New Roman"/>
                                  <w:color w:val="000000"/>
                                  <w:sz w:val="18"/>
                                  <w:szCs w:val="18"/>
                                  <w:lang w:eastAsia="tr-TR"/>
                                </w:rPr>
                                <w:t> Aynı Yönetmeliğin 85 inci maddesi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B1C5A">
                                <w:rPr>
                                  <w:rFonts w:ascii="Verdana" w:eastAsia="Times New Roman" w:hAnsi="Verdana" w:cs="Times New Roman"/>
                                  <w:color w:val="000000"/>
                                  <w:sz w:val="18"/>
                                  <w:szCs w:val="18"/>
                                  <w:lang w:eastAsia="tr-TR"/>
                                </w:rPr>
                                <w:t>“</w:t>
                              </w:r>
                              <w:r w:rsidRPr="002B1C5A">
                                <w:rPr>
                                  <w:rFonts w:ascii="Verdana" w:eastAsia="Times New Roman" w:hAnsi="Verdana" w:cs="Times New Roman"/>
                                  <w:b/>
                                  <w:bCs/>
                                  <w:color w:val="000000"/>
                                  <w:sz w:val="18"/>
                                  <w:szCs w:val="18"/>
                                  <w:lang w:eastAsia="tr-TR"/>
                                </w:rPr>
                                <w:t>MADDE 85 –</w:t>
                              </w:r>
                              <w:r w:rsidRPr="002B1C5A">
                                <w:rPr>
                                  <w:rFonts w:ascii="Verdana" w:eastAsia="Times New Roman" w:hAnsi="Verdana" w:cs="Times New Roman"/>
                                  <w:color w:val="000000"/>
                                  <w:sz w:val="18"/>
                                  <w:szCs w:val="18"/>
                                  <w:lang w:eastAsia="tr-TR"/>
                                </w:rPr>
                                <w:t> (1) Kaçak zannı ile el konularak kaçak eşya ambarı, yoksa sırasıyla genel antrepo, geçici depolama yerleri veya gümrük idaresince uygun görülen yerlere konulan eşyanın mahkemesince sahiplerine iadesine karar verilmesi halinde, kararın kesinleşmesini müteakip, eşya sahibine veya temsilcisine yapılacak tebligat tarihinden itibaren, bu eşya geçici depolanan eşya statüsüne tabi tutulur. </w:t>
                              </w:r>
                              <w:proofErr w:type="gramEnd"/>
                              <w:r w:rsidRPr="002B1C5A">
                                <w:rPr>
                                  <w:rFonts w:ascii="Verdana" w:eastAsia="Times New Roman" w:hAnsi="Verdana" w:cs="Times New Roman"/>
                                  <w:color w:val="000000"/>
                                  <w:sz w:val="18"/>
                                  <w:szCs w:val="18"/>
                                  <w:lang w:eastAsia="tr-TR"/>
                                </w:rPr>
                                <w:t>Bu eşya; serbest dolaşımda bulunmuyorsa otuz gün içinde gümrükçe onaylanmış bir işlem veya kullanım tayin edilerek buna ilişkin işlemler tamamlanır; serbest dolaşımda bulunuyorsa kararın kesinleşmesini müteakip ilgilisine yapılacak tebligat tarihinden itibaren otuz gün içinde teslim alınır. Bu süreler içerisinde işlemleri yapılmayan eşya tasfiye edilir.”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9 –</w:t>
                              </w:r>
                              <w:r w:rsidRPr="002B1C5A">
                                <w:rPr>
                                  <w:rFonts w:ascii="Verdana" w:eastAsia="Times New Roman" w:hAnsi="Verdana" w:cs="Times New Roman"/>
                                  <w:color w:val="000000"/>
                                  <w:sz w:val="18"/>
                                  <w:szCs w:val="18"/>
                                  <w:lang w:eastAsia="tr-TR"/>
                                </w:rPr>
                                <w:t> Aynı Yönetmeliğin 180 inci maddesinin ikinci fıkrasının (c) bendi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color w:val="FF0000"/>
                                  <w:sz w:val="20"/>
                                  <w:szCs w:val="20"/>
                                  <w:highlight w:val="yellow"/>
                                  <w:lang w:eastAsia="tr-TR"/>
                                </w:rPr>
                                <w:t>c) Mavi hat; Bakanlıkça belirlenen onaylanmış kişi statüsüne sahip kişilerin ihracatta yararlandığı, eşyanın çıkış işlemlerinin tamamlanmasından önce belge kontrolüne veya muayeneye tabi tutulmadığı hattır. Mavi hatta işlem gören ihracat beyannamelerine ilişkin beyanın kontrolü, eşyanın çıkış işlemlerinin tamamlanmasını müteakip Bakanlıkça belirlenen usul ve esaslar dâhilinde gerçekleştirilir</w:t>
                              </w:r>
                              <w:r w:rsidRPr="002B1C5A">
                                <w:rPr>
                                  <w:rFonts w:ascii="Verdana" w:eastAsia="Times New Roman" w:hAnsi="Verdana" w:cs="Times New Roman"/>
                                  <w:color w:val="000000"/>
                                  <w:sz w:val="20"/>
                                  <w:szCs w:val="20"/>
                                  <w:lang w:eastAsia="tr-TR"/>
                                </w:rPr>
                                <w:t>.”</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10 –</w:t>
                              </w:r>
                              <w:r w:rsidRPr="002B1C5A">
                                <w:rPr>
                                  <w:rFonts w:ascii="Verdana" w:eastAsia="Times New Roman" w:hAnsi="Verdana" w:cs="Times New Roman"/>
                                  <w:color w:val="000000"/>
                                  <w:sz w:val="18"/>
                                  <w:szCs w:val="18"/>
                                  <w:lang w:eastAsia="tr-TR"/>
                                </w:rPr>
                                <w:t> Aynı Yönetmeliğin 181 inci maddesinin beşinci fıkrasının (b) bendinde yer alan “eşyanın gümrük işlemlerinin yapıldığı gümrük idaresine” ibaresinden sonra gelmek üzere “veya yetkilendirilmiş gümrük müşavirine” ibaresi eklenmiş ve aynı fıkraya aşağıda yer alan (ç) bendi eklenmiştir.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“ç) Bakanlık bu fıkra kapsamına giren eşyanın gümrük gözetiminin sona erdirilmesine ilişkin iş ve işlemlerin, yetkilendirilmiş gümrük müşavirleri marifetiyle yerine getirilmesine ilişkin düzenleme yapmaya yetkilidir.”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11 –</w:t>
                              </w:r>
                              <w:r w:rsidRPr="002B1C5A">
                                <w:rPr>
                                  <w:rFonts w:ascii="Verdana" w:eastAsia="Times New Roman" w:hAnsi="Verdana" w:cs="Times New Roman"/>
                                  <w:color w:val="000000"/>
                                  <w:sz w:val="18"/>
                                  <w:szCs w:val="18"/>
                                  <w:lang w:eastAsia="tr-TR"/>
                                </w:rPr>
                                <w:t> Aynı Yönetmeliğin 196 </w:t>
                              </w:r>
                              <w:proofErr w:type="spellStart"/>
                              <w:r w:rsidRPr="002B1C5A">
                                <w:rPr>
                                  <w:rFonts w:ascii="Verdana" w:eastAsia="Times New Roman" w:hAnsi="Verdana" w:cs="Times New Roman"/>
                                  <w:color w:val="000000"/>
                                  <w:sz w:val="18"/>
                                  <w:szCs w:val="18"/>
                                  <w:lang w:eastAsia="tr-TR"/>
                                </w:rPr>
                                <w:t>ncı</w:t>
                              </w:r>
                              <w:proofErr w:type="spellEnd"/>
                              <w:r w:rsidRPr="002B1C5A">
                                <w:rPr>
                                  <w:rFonts w:ascii="Verdana" w:eastAsia="Times New Roman" w:hAnsi="Verdana" w:cs="Times New Roman"/>
                                  <w:color w:val="000000"/>
                                  <w:sz w:val="18"/>
                                  <w:szCs w:val="18"/>
                                  <w:lang w:eastAsia="tr-TR"/>
                                </w:rPr>
                                <w:t> maddesinin yedinci fıkrası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“(7) Birinci fıkrada belirtilen eşyanın transit rejimi beyanında bulunulduğu durumda, beyanın belge kontrolüne tabi tutulması ya da fiziki muayeneye tabi tutulan eşyanın niteliği itibarıyla muayene memurunca gümrük tarife istatistik pozisyonunun tespitinin mümkün olması halinde eşya laboratuvar tahliline tabi tutulmaz. </w:t>
                              </w:r>
                              <w:proofErr w:type="gramStart"/>
                              <w:r w:rsidRPr="002B1C5A">
                                <w:rPr>
                                  <w:rFonts w:ascii="Verdana" w:eastAsia="Times New Roman" w:hAnsi="Verdana" w:cs="Times New Roman"/>
                                  <w:color w:val="000000"/>
                                  <w:sz w:val="20"/>
                                  <w:szCs w:val="20"/>
                                  <w:lang w:eastAsia="tr-TR"/>
                                </w:rPr>
                                <w:t>Kara hudut kapılarından Türkiye Gümrük Bölgesine girişte transit rejimi beyanında bulunulan birinci fıkra kapsamı eşyanın gümrük tarife istatistik pozisyonunun tespiti için laboratuvar tahlilinin gerekli olması durumunda, giriş gümrük idaresi tarafından rejimin ibrasına kadar gümrük idaresinde saklanmak üzere numune alınarak taşıtın varış idaresine sevki mühür tatbik edilmek ve elektronik uydu takip cihazları ile takip edilmek suretiyle gerçekleştirilir. </w:t>
                              </w:r>
                              <w:proofErr w:type="gramEnd"/>
                              <w:r w:rsidRPr="002B1C5A">
                                <w:rPr>
                                  <w:rFonts w:ascii="Verdana" w:eastAsia="Times New Roman" w:hAnsi="Verdana" w:cs="Times New Roman"/>
                                  <w:color w:val="000000"/>
                                  <w:sz w:val="20"/>
                                  <w:szCs w:val="20"/>
                                  <w:lang w:eastAsia="tr-TR"/>
                                </w:rPr>
                                <w:t>Varış idaresinde  eşyanın </w:t>
                              </w:r>
                              <w:proofErr w:type="spellStart"/>
                              <w:r w:rsidRPr="002B1C5A">
                                <w:rPr>
                                  <w:rFonts w:ascii="Verdana" w:eastAsia="Times New Roman" w:hAnsi="Verdana" w:cs="Times New Roman"/>
                                  <w:color w:val="000000"/>
                                  <w:sz w:val="20"/>
                                  <w:szCs w:val="20"/>
                                  <w:lang w:eastAsia="tr-TR"/>
                                </w:rPr>
                                <w:t>laboratuvartahlili</w:t>
                              </w:r>
                              <w:proofErr w:type="spellEnd"/>
                              <w:r w:rsidRPr="002B1C5A">
                                <w:rPr>
                                  <w:rFonts w:ascii="Verdana" w:eastAsia="Times New Roman" w:hAnsi="Verdana" w:cs="Times New Roman"/>
                                  <w:color w:val="000000"/>
                                  <w:sz w:val="20"/>
                                  <w:szCs w:val="20"/>
                                  <w:lang w:eastAsia="tr-TR"/>
                                </w:rPr>
                                <w:t xml:space="preserve"> sonucunun beyana uygun olması halinde rejim sonlandırılır. Laboratuvar tahlili sonucunun beyana uygun olmaması halinde giriş gümrük idaresi numuneyi varış gümrük idaresine gönderir, bu numune kullanılarak </w:t>
                              </w:r>
                              <w:proofErr w:type="spellStart"/>
                              <w:r w:rsidRPr="002B1C5A">
                                <w:rPr>
                                  <w:rFonts w:ascii="Verdana" w:eastAsia="Times New Roman" w:hAnsi="Verdana" w:cs="Times New Roman"/>
                                  <w:color w:val="000000"/>
                                  <w:sz w:val="20"/>
                                  <w:szCs w:val="20"/>
                                  <w:lang w:eastAsia="tr-TR"/>
                                </w:rPr>
                                <w:t>yapılanlaboratuvar</w:t>
                              </w:r>
                              <w:proofErr w:type="spellEnd"/>
                              <w:r w:rsidRPr="002B1C5A">
                                <w:rPr>
                                  <w:rFonts w:ascii="Verdana" w:eastAsia="Times New Roman" w:hAnsi="Verdana" w:cs="Times New Roman"/>
                                  <w:color w:val="000000"/>
                                  <w:sz w:val="20"/>
                                  <w:szCs w:val="20"/>
                                  <w:lang w:eastAsia="tr-TR"/>
                                </w:rPr>
                                <w:t xml:space="preserve"> tahlili </w:t>
                              </w:r>
                              <w:r w:rsidRPr="002B1C5A">
                                <w:rPr>
                                  <w:rFonts w:ascii="Verdana" w:eastAsia="Times New Roman" w:hAnsi="Verdana" w:cs="Times New Roman"/>
                                  <w:color w:val="000000"/>
                                  <w:sz w:val="20"/>
                                  <w:szCs w:val="20"/>
                                  <w:lang w:eastAsia="tr-TR"/>
                                </w:rPr>
                                <w:lastRenderedPageBreak/>
                                <w:t>sonuçlarına göre işlem yapılır. Varış idaresinde, kara hudut kapılarından transit rejimi altında sevk edilen eşyanın yurtdışı edilecek olması durumunda, ihbar ve şüphe halleri hariç olmak üzere, mühürlerin sağlam ve kapların açılmamış olduğunun tespit edilmesini müteakip eşyanın yurtdışı edilmesi işlemleri gerçekleştirilir. Ayrıca, transit rejimine tabi tutulan birinci fıkranın (a) bendinde belirtilen eşyanın ayniyetinin korunmasına ilişkin usul ve esasların Bakanlıkça belirlendiği durumlarda, ilgili usul ve esaslar çerçevesinde işlem yapılır.”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12 –</w:t>
                              </w:r>
                              <w:r w:rsidRPr="002B1C5A">
                                <w:rPr>
                                  <w:rFonts w:ascii="Verdana" w:eastAsia="Times New Roman" w:hAnsi="Verdana" w:cs="Times New Roman"/>
                                  <w:color w:val="000000"/>
                                  <w:sz w:val="18"/>
                                  <w:szCs w:val="18"/>
                                  <w:lang w:eastAsia="tr-TR"/>
                                </w:rPr>
                                <w:t> Aynı Yönetmeliğin 207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maddesinin dördüncü fıkrasında yer alan “gümrük idaresince” ibaresi “yetkilendirilmiş gümrük müşavirince düzenlenecek rapora istinaden” olarak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13 –</w:t>
                              </w:r>
                              <w:r w:rsidRPr="002B1C5A">
                                <w:rPr>
                                  <w:rFonts w:ascii="Verdana" w:eastAsia="Times New Roman" w:hAnsi="Verdana" w:cs="Times New Roman"/>
                                  <w:color w:val="000000"/>
                                  <w:sz w:val="18"/>
                                  <w:szCs w:val="18"/>
                                  <w:lang w:eastAsia="tr-TR"/>
                                </w:rPr>
                                <w:t> Aynı Yönetmeliğin 235 inci maddesinin birinci fıkrasında yer alan “Görevli memur” ibaresinden sonra gelmek üzere “veya yetkilendirilmiş gümrük müşaviri” ibaresi eklenmiştir.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14 –</w:t>
                              </w:r>
                              <w:r w:rsidRPr="002B1C5A">
                                <w:rPr>
                                  <w:rFonts w:ascii="Verdana" w:eastAsia="Times New Roman" w:hAnsi="Verdana" w:cs="Times New Roman"/>
                                  <w:color w:val="000000"/>
                                  <w:sz w:val="18"/>
                                  <w:szCs w:val="18"/>
                                  <w:lang w:eastAsia="tr-TR"/>
                                </w:rPr>
                                <w:t> Aynı Yönetmeliğin 251 inci maddesi başlığıyla birlikte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b/>
                                  <w:bCs/>
                                  <w:color w:val="000000"/>
                                  <w:sz w:val="20"/>
                                  <w:szCs w:val="20"/>
                                  <w:lang w:eastAsia="tr-TR"/>
                                </w:rPr>
                                <w:t>Demiryolu ile taşımalara ilişkin basitleştirilmiş usul</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251 –</w:t>
                              </w:r>
                              <w:r w:rsidRPr="002B1C5A">
                                <w:rPr>
                                  <w:rFonts w:ascii="Verdana" w:eastAsia="Times New Roman" w:hAnsi="Verdana" w:cs="Times New Roman"/>
                                  <w:color w:val="000000"/>
                                  <w:sz w:val="18"/>
                                  <w:szCs w:val="18"/>
                                  <w:lang w:eastAsia="tr-TR"/>
                                </w:rPr>
                                <w:t> (1) Eşyanın demiryolu ile basitleştirilmiş usulde taşınmasına ilişkin yapılacak izin başvurusu, 224 üncü maddenin birinci fıkrasında belirtilen koşulların sağlanması halinde 225 inci maddede belirtilen bilgi ve belgeler ibraz edilerek yapılır. </w:t>
                              </w:r>
                              <w:proofErr w:type="gramStart"/>
                              <w:r w:rsidRPr="002B1C5A">
                                <w:rPr>
                                  <w:rFonts w:ascii="Verdana" w:eastAsia="Times New Roman" w:hAnsi="Verdana" w:cs="Times New Roman"/>
                                  <w:color w:val="000000"/>
                                  <w:sz w:val="18"/>
                                  <w:szCs w:val="18"/>
                                  <w:lang w:eastAsia="tr-TR"/>
                                </w:rPr>
                                <w:t>Ancak, 224 üncü maddenin üçüncü fıkrasında belirtilen genel yönetim kapsamındaki kamu idareleri, iktisadi devlet teşekkülleri ve kamu iktisadi kuruluşları ile sermayesinin tamamı bir iktisadi devlet teşekkülüne veya kamu iktisadi kuruluşuna ait bağlı müesseselerin başvurularında, 225 inci maddede yer alan bilgi ve belgeler aranmaksızın, demiryolu işletmecisinin Uluslararası Demiryolları Birliği (UIC) işletme kodunun yer aldığı ve verilecek izin kapsamında gerçekleştirilecek transit işlemlerine ilişkin yükümlülüklerin asıl sorumlu sıfatıyla taraflarınca üstlenildiğine dair ibare içeren, yetkili şahıslarca imzalanmış başvuru yazısına istinaden işlem yapılır.</w:t>
                              </w:r>
                              <w:proofErr w:type="gramEnd"/>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(2) Birinci fıkrada belirtilen koşulları taşıyan demiryolu işletmecisine Bakanlıkça basitleştirme izni verilebilir. Basitleştirme izni kapsamında gümrük idarelerince yapılacak işlemler, izin sahibi asıl sorumlunun yükümlülükleri ve izne ilişkin diğer hususlar Bakanlıkça belirlenir.”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15 –</w:t>
                              </w:r>
                              <w:r w:rsidRPr="002B1C5A">
                                <w:rPr>
                                  <w:rFonts w:ascii="Verdana" w:eastAsia="Times New Roman" w:hAnsi="Verdana" w:cs="Times New Roman"/>
                                  <w:color w:val="000000"/>
                                  <w:sz w:val="18"/>
                                  <w:szCs w:val="18"/>
                                  <w:lang w:eastAsia="tr-TR"/>
                                </w:rPr>
                                <w:t> Aynı Yönetmeliğin 252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maddesi başlığıyla birlikte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b/>
                                  <w:bCs/>
                                  <w:color w:val="000000"/>
                                  <w:sz w:val="20"/>
                                  <w:szCs w:val="20"/>
                                  <w:lang w:eastAsia="tr-TR"/>
                                </w:rPr>
                                <w:t>Denizyolu ile taşımalara ilişkin basitleştirilmiş usul</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252 –</w:t>
                              </w:r>
                              <w:r w:rsidRPr="002B1C5A">
                                <w:rPr>
                                  <w:rFonts w:ascii="Verdana" w:eastAsia="Times New Roman" w:hAnsi="Verdana" w:cs="Times New Roman"/>
                                  <w:color w:val="000000"/>
                                  <w:sz w:val="18"/>
                                  <w:szCs w:val="18"/>
                                  <w:lang w:eastAsia="tr-TR"/>
                                </w:rPr>
                                <w:t> (1) 224 üncü maddenin birinci fıkrasında belirtilen koşulları taşıdığını 225 inci maddede belirtilen bilgi ve belgeler ile tevsik eden denizyolu taşımacılığı yapan firmalara Bakanlıkça basitleştirme izni verilebilir. Basitleştirme izni kapsamında hareket ve varış idarelerinde yapılacak işlemler, izin sahibi asıl sorumlunun yükümlülükleri ve izne ilişkin diğer hususlar Bakanlıkça belirlenir.”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16 –</w:t>
                              </w:r>
                              <w:r w:rsidRPr="002B1C5A">
                                <w:rPr>
                                  <w:rFonts w:ascii="Verdana" w:eastAsia="Times New Roman" w:hAnsi="Verdana" w:cs="Times New Roman"/>
                                  <w:color w:val="000000"/>
                                  <w:sz w:val="18"/>
                                  <w:szCs w:val="18"/>
                                  <w:lang w:eastAsia="tr-TR"/>
                                </w:rPr>
                                <w:t> Aynı Yönetmeliğin 253 ila 262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maddeleri yürürlükten kaldırılmıştır.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17 – </w:t>
                              </w:r>
                              <w:r w:rsidRPr="002B1C5A">
                                <w:rPr>
                                  <w:rFonts w:ascii="Verdana" w:eastAsia="Times New Roman" w:hAnsi="Verdana" w:cs="Times New Roman"/>
                                  <w:color w:val="000000"/>
                                  <w:sz w:val="18"/>
                                  <w:szCs w:val="18"/>
                                  <w:lang w:eastAsia="tr-TR"/>
                                </w:rPr>
                                <w:t>Aynı Yönetmeliğin 330 uncu maddesinin birinci fıkrasının (b) bendinde yer alan “geçmemek üzere” ibaresinden sonra gelmek üzere “yetkilendirilmiş gümrük müşaviri veya” ibaresi eklenmiştir.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18 –</w:t>
                              </w:r>
                              <w:r w:rsidRPr="002B1C5A">
                                <w:rPr>
                                  <w:rFonts w:ascii="Verdana" w:eastAsia="Times New Roman" w:hAnsi="Verdana" w:cs="Times New Roman"/>
                                  <w:color w:val="000000"/>
                                  <w:sz w:val="18"/>
                                  <w:szCs w:val="18"/>
                                  <w:lang w:eastAsia="tr-TR"/>
                                </w:rPr>
                                <w:t> Aynı Yönetmeliğin 332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maddesinin ikinci fıkrasında yer alan “gümrük memuru” ibaresinden sonra gelmek üzere “veya yetkilendirilmiş gümrük müşaviri” ibaresi eklenmiştir.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19 –</w:t>
                              </w:r>
                              <w:r w:rsidRPr="002B1C5A">
                                <w:rPr>
                                  <w:rFonts w:ascii="Verdana" w:eastAsia="Times New Roman" w:hAnsi="Verdana" w:cs="Times New Roman"/>
                                  <w:color w:val="000000"/>
                                  <w:sz w:val="18"/>
                                  <w:szCs w:val="18"/>
                                  <w:lang w:eastAsia="tr-TR"/>
                                </w:rPr>
                                <w:t> Aynı Yönetmeliğin 335 inci maddesinin beşinci fıkrasında yer alan “ayniyat tespiti” ibaresinden sonra gelmek üzere “yetkilendirilmiş gümrük müşaviri veya” ibaresi eklenmiştir.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20 –</w:t>
                              </w:r>
                              <w:r w:rsidRPr="002B1C5A">
                                <w:rPr>
                                  <w:rFonts w:ascii="Verdana" w:eastAsia="Times New Roman" w:hAnsi="Verdana" w:cs="Times New Roman"/>
                                  <w:color w:val="000000"/>
                                  <w:sz w:val="18"/>
                                  <w:szCs w:val="18"/>
                                  <w:lang w:eastAsia="tr-TR"/>
                                </w:rPr>
                                <w:t> Aynı Yönetmeliğin 380 inci maddesinin üçüncü fıkrası aşağıdaki şekilde değiştirilmiştir. </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“(3) Eşyanın rejim altında kalma süresinin verilecek ek sürelerle birlikte, Kanunun 130 uncu maddesinin ikinci fıkrasında belirtilen yirmi dört aylık süreyi aşmaması esastır. Ancak, aşağıda belirtilen eşya için rejime giriş gümrük idaresince yirmi dört ayı aşan süre uzatımı da yapılabilir: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a) Özelliği nedeniyle mülkiyeti devredilemeyen eşya,</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lastRenderedPageBreak/>
                                <w:t>b) Yirmi dört aydan uzun süreli yatırımlarda kullanılan eşya,</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c) Kamu kuruluşları, belediyeler ve sermayesinin tamamı devlete ait olan kamu iktisadi kuruluşları ile yapılan sözleşmeye istinaden ticari amaçla kullanılmak üzere getirilen, Türkiye Gümrük Bölgesi dışında yerleşik bir kişi adına ve bu bölge dışında tescil edilmiş olan ambulans hava taşıtları, yangın söndürme hava taşıtları, zirai ilaçlama hava taşıtları ve sıhhi ilaçlama hava taşıtları ile bunların yenilenmesi, ayarı ve muhafazasına yönelik tamir ve bakım için gerekli olan yedek parça, aksesuar ve </w:t>
                              </w:r>
                              <w:proofErr w:type="gramStart"/>
                              <w:r w:rsidRPr="002B1C5A">
                                <w:rPr>
                                  <w:rFonts w:ascii="Verdana" w:eastAsia="Times New Roman" w:hAnsi="Verdana" w:cs="Times New Roman"/>
                                  <w:color w:val="000000"/>
                                  <w:sz w:val="20"/>
                                  <w:szCs w:val="20"/>
                                  <w:lang w:eastAsia="tr-TR"/>
                                </w:rPr>
                                <w:t>ekipmanlar</w:t>
                              </w:r>
                              <w:proofErr w:type="gramEnd"/>
                              <w:r w:rsidRPr="002B1C5A">
                                <w:rPr>
                                  <w:rFonts w:ascii="Verdana" w:eastAsia="Times New Roman" w:hAnsi="Verdana" w:cs="Times New Roman"/>
                                  <w:color w:val="000000"/>
                                  <w:sz w:val="20"/>
                                  <w:szCs w:val="20"/>
                                  <w:lang w:eastAsia="tr-TR"/>
                                </w:rPr>
                                <w:t>.”</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21 –</w:t>
                              </w:r>
                              <w:r w:rsidRPr="002B1C5A">
                                <w:rPr>
                                  <w:rFonts w:ascii="Verdana" w:eastAsia="Times New Roman" w:hAnsi="Verdana" w:cs="Times New Roman"/>
                                  <w:color w:val="000000"/>
                                  <w:sz w:val="18"/>
                                  <w:szCs w:val="18"/>
                                  <w:lang w:eastAsia="tr-TR"/>
                                </w:rPr>
                                <w:t> Aynı Yönetmeliğin 520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maddesinin birinci fıkrasının (h) bendi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“h) Yetkilendirilmiş gümrük müşaviri tarafından düzenlenen tespit raporu.”</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22 –</w:t>
                              </w:r>
                              <w:r w:rsidRPr="002B1C5A">
                                <w:rPr>
                                  <w:rFonts w:ascii="Verdana" w:eastAsia="Times New Roman" w:hAnsi="Verdana" w:cs="Times New Roman"/>
                                  <w:color w:val="000000"/>
                                  <w:sz w:val="18"/>
                                  <w:szCs w:val="18"/>
                                  <w:lang w:eastAsia="tr-TR"/>
                                </w:rPr>
                                <w:t> Aynı Yönetmeliğin 521 inci maddesinin ikinci fıkrasında yer alan “gümrük memuru” ibaresi “yetkilendirilmiş gümrük müşaviri” olarak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23 –</w:t>
                              </w:r>
                              <w:r w:rsidRPr="002B1C5A">
                                <w:rPr>
                                  <w:rFonts w:ascii="Verdana" w:eastAsia="Times New Roman" w:hAnsi="Verdana" w:cs="Times New Roman"/>
                                  <w:color w:val="000000"/>
                                  <w:sz w:val="18"/>
                                  <w:szCs w:val="18"/>
                                  <w:lang w:eastAsia="tr-TR"/>
                                </w:rPr>
                                <w:t> Aynı Yönetmeliğin 524 üncü maddesinin dördüncü fıkrası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“(4) Bu madde uyarınca, antrepolarda yapılacak değişikliklerle ilgili olarak yetkilendirilmiş gümrük müşavirince tespit raporu düzenlenir. Birinci fıkrada yer alan işlemlere ilişkin tespit raporları Bakanlığa (Tasfiye Hizmetleri Genel Müdürlüğü) gönderilir.”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24 –</w:t>
                              </w:r>
                              <w:r w:rsidRPr="002B1C5A">
                                <w:rPr>
                                  <w:rFonts w:ascii="Verdana" w:eastAsia="Times New Roman" w:hAnsi="Verdana" w:cs="Times New Roman"/>
                                  <w:color w:val="000000"/>
                                  <w:sz w:val="18"/>
                                  <w:szCs w:val="18"/>
                                  <w:lang w:eastAsia="tr-TR"/>
                                </w:rPr>
                                <w:t> Aynı Yönetmeliğin 525 inci maddesinin mülga yedinci fıkrası aşağıdaki şekilde yeniden düzenlenmiştir.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“(7) Yapılacak denetleme neticesinde;</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a) Yetkilendirilmiş gümrük müşavirliği asgari ücret tarifesinin altında hizmet verilmesi sonucu yetkilendirilmiş gümrük müşavirinin belgesinin geri alınmasına karar verilmesi halinde bir ay süreyle,</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b) Yetkilendirilmiş gümrük müşaviri ile tespit işlemi yaptıran antrepo işleticisi arasında tespit işlemi haricinde doğrudan veya dolaylı iş ilişkisinin tespiti halinde üç ay süreyle,</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B1C5A">
                                <w:rPr>
                                  <w:rFonts w:ascii="Verdana" w:eastAsia="Times New Roman" w:hAnsi="Verdana" w:cs="Times New Roman"/>
                                  <w:color w:val="000000"/>
                                  <w:sz w:val="18"/>
                                  <w:szCs w:val="18"/>
                                  <w:lang w:eastAsia="tr-TR"/>
                                </w:rPr>
                                <w:t>ilgili</w:t>
                              </w:r>
                              <w:proofErr w:type="gramEnd"/>
                              <w:r w:rsidRPr="002B1C5A">
                                <w:rPr>
                                  <w:rFonts w:ascii="Verdana" w:eastAsia="Times New Roman" w:hAnsi="Verdana" w:cs="Times New Roman"/>
                                  <w:color w:val="000000"/>
                                  <w:sz w:val="18"/>
                                  <w:szCs w:val="18"/>
                                  <w:lang w:eastAsia="tr-TR"/>
                                </w:rPr>
                                <w:t> antrepoya eşya alınmasına izin verilmez.”</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25 –</w:t>
                              </w:r>
                              <w:r w:rsidRPr="002B1C5A">
                                <w:rPr>
                                  <w:rFonts w:ascii="Verdana" w:eastAsia="Times New Roman" w:hAnsi="Verdana" w:cs="Times New Roman"/>
                                  <w:color w:val="000000"/>
                                  <w:sz w:val="18"/>
                                  <w:szCs w:val="18"/>
                                  <w:lang w:eastAsia="tr-TR"/>
                                </w:rPr>
                                <w:t> Aynı Yönetmeliğin 536 </w:t>
                              </w:r>
                              <w:proofErr w:type="spellStart"/>
                              <w:r w:rsidRPr="002B1C5A">
                                <w:rPr>
                                  <w:rFonts w:ascii="Verdana" w:eastAsia="Times New Roman" w:hAnsi="Verdana" w:cs="Times New Roman"/>
                                  <w:color w:val="000000"/>
                                  <w:sz w:val="18"/>
                                  <w:szCs w:val="18"/>
                                  <w:lang w:eastAsia="tr-TR"/>
                                </w:rPr>
                                <w:t>ncı</w:t>
                              </w:r>
                              <w:proofErr w:type="spellEnd"/>
                              <w:r w:rsidRPr="002B1C5A">
                                <w:rPr>
                                  <w:rFonts w:ascii="Verdana" w:eastAsia="Times New Roman" w:hAnsi="Verdana" w:cs="Times New Roman"/>
                                  <w:color w:val="000000"/>
                                  <w:sz w:val="18"/>
                                  <w:szCs w:val="18"/>
                                  <w:lang w:eastAsia="tr-TR"/>
                                </w:rPr>
                                <w:t> maddesinin birinci fıkrasında yer alan “gümrük memuru” ibaresinden sonra gelmek üzere “veya yetkilendirilmiş gümrük müşaviri” ibaresi eklenmiştir.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26 –</w:t>
                              </w:r>
                              <w:r w:rsidRPr="002B1C5A">
                                <w:rPr>
                                  <w:rFonts w:ascii="Verdana" w:eastAsia="Times New Roman" w:hAnsi="Verdana" w:cs="Times New Roman"/>
                                  <w:color w:val="000000"/>
                                  <w:sz w:val="18"/>
                                  <w:szCs w:val="18"/>
                                  <w:lang w:eastAsia="tr-TR"/>
                                </w:rPr>
                                <w:t> Aynı Yönetmeliğin 538 inci maddesinin mülga dördüncü fıkrası aşağıdaki şekilde yeniden düzenlenmiştir.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“(4) Yetkilendirilmiş gümrük müşavirleri tarafından fiziki sayım yapılarak stok kayıtları altışar aylık dönemler itibarıyla tespit edilen ve buna ilişkin raporları ilgili gümrük müdürlüğüne sunulan genel ve özel antrepolar, birinci fıkranın kapsamı dışındadır.”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27 –</w:t>
                              </w:r>
                              <w:r w:rsidRPr="002B1C5A">
                                <w:rPr>
                                  <w:rFonts w:ascii="Verdana" w:eastAsia="Times New Roman" w:hAnsi="Verdana" w:cs="Times New Roman"/>
                                  <w:color w:val="000000"/>
                                  <w:sz w:val="18"/>
                                  <w:szCs w:val="18"/>
                                  <w:lang w:eastAsia="tr-TR"/>
                                </w:rPr>
                                <w:t> Aynı Yönetmeliğin 540 </w:t>
                              </w:r>
                              <w:proofErr w:type="spellStart"/>
                              <w:r w:rsidRPr="002B1C5A">
                                <w:rPr>
                                  <w:rFonts w:ascii="Verdana" w:eastAsia="Times New Roman" w:hAnsi="Verdana" w:cs="Times New Roman"/>
                                  <w:color w:val="000000"/>
                                  <w:sz w:val="18"/>
                                  <w:szCs w:val="18"/>
                                  <w:lang w:eastAsia="tr-TR"/>
                                </w:rPr>
                                <w:t>ıncı</w:t>
                              </w:r>
                              <w:proofErr w:type="spellEnd"/>
                              <w:r w:rsidRPr="002B1C5A">
                                <w:rPr>
                                  <w:rFonts w:ascii="Verdana" w:eastAsia="Times New Roman" w:hAnsi="Verdana" w:cs="Times New Roman"/>
                                  <w:color w:val="000000"/>
                                  <w:sz w:val="18"/>
                                  <w:szCs w:val="18"/>
                                  <w:lang w:eastAsia="tr-TR"/>
                                </w:rPr>
                                <w:t> maddesinin birinci fıkrasında yer alan “gümrük memuru” ibaresinden sonra gelmek üzere “veya yetkilendirilmiş gümrük müşaviri” ibaresi eklenmiş ve aynı maddenin üçüncü fıkrasında yer alan “gümrük memurları” ibaresinden sonra gelmek üzere “veya yetkilendirilmiş gümrük müşavirleri” ibaresi eklenmiştir.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28 –</w:t>
                              </w:r>
                              <w:r w:rsidRPr="002B1C5A">
                                <w:rPr>
                                  <w:rFonts w:ascii="Verdana" w:eastAsia="Times New Roman" w:hAnsi="Verdana" w:cs="Times New Roman"/>
                                  <w:color w:val="000000"/>
                                  <w:sz w:val="18"/>
                                  <w:szCs w:val="18"/>
                                  <w:lang w:eastAsia="tr-TR"/>
                                </w:rPr>
                                <w:t> Aynı Yönetmeliğin 555 inci maddesinin birinci fıkrası aşağıdaki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“(1) Yetkilendirilmiş gümrük müşaviri bulunmayan antrepo ile geçici depolama yerlerinde çift kilit bulundurulması zorunludur.”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29 –</w:t>
                              </w:r>
                              <w:r w:rsidRPr="002B1C5A">
                                <w:rPr>
                                  <w:rFonts w:ascii="Verdana" w:eastAsia="Times New Roman" w:hAnsi="Verdana" w:cs="Times New Roman"/>
                                  <w:color w:val="000000"/>
                                  <w:sz w:val="18"/>
                                  <w:szCs w:val="18"/>
                                  <w:lang w:eastAsia="tr-TR"/>
                                </w:rPr>
                                <w:t> Aynı Yönetmeliğin 557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maddesinin birinci fıkrasında yer alan “görevlilerden,” ibaresinden sonra gelmek üzere “yetkilendirilmiş gümrük müşavirleri ile” ibaresi eklenmiştir.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30 –</w:t>
                              </w:r>
                              <w:r w:rsidRPr="002B1C5A">
                                <w:rPr>
                                  <w:rFonts w:ascii="Verdana" w:eastAsia="Times New Roman" w:hAnsi="Verdana" w:cs="Times New Roman"/>
                                  <w:color w:val="000000"/>
                                  <w:sz w:val="18"/>
                                  <w:szCs w:val="18"/>
                                  <w:lang w:eastAsia="tr-TR"/>
                                </w:rPr>
                                <w:t> Aynı Yönetmeliğin mülga 574 üncü maddesi aşağıdaki şekilde yeniden düzenlenmiştir.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highlight w:val="yellow"/>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b/>
                                  <w:bCs/>
                                  <w:color w:val="FF0000"/>
                                  <w:sz w:val="20"/>
                                  <w:szCs w:val="20"/>
                                  <w:highlight w:val="yellow"/>
                                  <w:lang w:eastAsia="tr-TR"/>
                                </w:rPr>
                                <w:t>Yetkilendirilmiş gümrük müşaviri</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highlight w:val="yellow"/>
                                  <w:lang w:eastAsia="tr-TR"/>
                                </w:rPr>
                              </w:pPr>
                              <w:r w:rsidRPr="002B1C5A">
                                <w:rPr>
                                  <w:rFonts w:ascii="Verdana" w:eastAsia="Times New Roman" w:hAnsi="Verdana" w:cs="Times New Roman"/>
                                  <w:b/>
                                  <w:bCs/>
                                  <w:color w:val="FF0000"/>
                                  <w:sz w:val="18"/>
                                  <w:szCs w:val="18"/>
                                  <w:highlight w:val="yellow"/>
                                  <w:lang w:eastAsia="tr-TR"/>
                                </w:rPr>
                                <w:t>MADDE 574 –</w:t>
                              </w:r>
                              <w:r w:rsidRPr="002B1C5A">
                                <w:rPr>
                                  <w:rFonts w:ascii="Verdana" w:eastAsia="Times New Roman" w:hAnsi="Verdana" w:cs="Times New Roman"/>
                                  <w:color w:val="FF0000"/>
                                  <w:sz w:val="18"/>
                                  <w:szCs w:val="18"/>
                                  <w:highlight w:val="yellow"/>
                                  <w:lang w:eastAsia="tr-TR"/>
                                </w:rPr>
                                <w:t> (1) Yetkilendirilmiş gümrük müşaviri, Kanunun 10 uncu maddesinin birinci fıkrasının (c) bendine istinaden ekonomik etkili gümrük rejimleri, nihai kullanım, basitleştirilmiş usul uygulamaları ve diğer gümrük işlemlerinin doğru olarak uygulanmasını sağlamak için Bakanlıkça belirlenen tespit işlemlerini yapmak üzere yetkilendirilen ve 576 </w:t>
                              </w:r>
                              <w:proofErr w:type="spellStart"/>
                              <w:r w:rsidRPr="002B1C5A">
                                <w:rPr>
                                  <w:rFonts w:ascii="Verdana" w:eastAsia="Times New Roman" w:hAnsi="Verdana" w:cs="Times New Roman"/>
                                  <w:color w:val="FF0000"/>
                                  <w:sz w:val="18"/>
                                  <w:szCs w:val="18"/>
                                  <w:highlight w:val="yellow"/>
                                  <w:lang w:eastAsia="tr-TR"/>
                                </w:rPr>
                                <w:t>ncı</w:t>
                              </w:r>
                              <w:proofErr w:type="spellEnd"/>
                              <w:r w:rsidRPr="002B1C5A">
                                <w:rPr>
                                  <w:rFonts w:ascii="Verdana" w:eastAsia="Times New Roman" w:hAnsi="Verdana" w:cs="Times New Roman"/>
                                  <w:color w:val="FF0000"/>
                                  <w:sz w:val="18"/>
                                  <w:szCs w:val="18"/>
                                  <w:highlight w:val="yellow"/>
                                  <w:lang w:eastAsia="tr-TR"/>
                                </w:rPr>
                                <w:t xml:space="preserve"> maddede </w:t>
                              </w:r>
                              <w:r w:rsidRPr="002B1C5A">
                                <w:rPr>
                                  <w:rFonts w:ascii="Verdana" w:eastAsia="Times New Roman" w:hAnsi="Verdana" w:cs="Times New Roman"/>
                                  <w:color w:val="FF0000"/>
                                  <w:sz w:val="18"/>
                                  <w:szCs w:val="18"/>
                                  <w:highlight w:val="yellow"/>
                                  <w:lang w:eastAsia="tr-TR"/>
                                </w:rPr>
                                <w:lastRenderedPageBreak/>
                                <w:t>belirtilen şartları taşıyan gümrük müşaviridir.</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color w:val="FF0000"/>
                                  <w:sz w:val="20"/>
                                  <w:szCs w:val="20"/>
                                  <w:highlight w:val="yellow"/>
                                  <w:lang w:eastAsia="tr-TR"/>
                                </w:rPr>
                                <w:t>(2) Birinci fıkrada geçen tespit işlemlerine ilişkin usul ve esaslar ile yetkilendirilmiş gümrük müşavirlerinin çalışma usul ve esasları Bakanlıkça yayımlanan tebliğ ve genelgelerle belirlenir.”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31 – </w:t>
                              </w:r>
                              <w:r w:rsidRPr="002B1C5A">
                                <w:rPr>
                                  <w:rFonts w:ascii="Verdana" w:eastAsia="Times New Roman" w:hAnsi="Verdana" w:cs="Times New Roman"/>
                                  <w:color w:val="000000"/>
                                  <w:sz w:val="18"/>
                                  <w:szCs w:val="18"/>
                                  <w:lang w:eastAsia="tr-TR"/>
                                </w:rPr>
                                <w:t>Aynı Yönetmeliğin mülga 575 inci maddesi aşağıdaki şekilde yeniden düzenlenmiştir.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highlight w:val="yellow"/>
                                  <w:lang w:eastAsia="tr-TR"/>
                                </w:rPr>
                              </w:pPr>
                              <w:r w:rsidRPr="002B1C5A">
                                <w:rPr>
                                  <w:rFonts w:ascii="Verdana" w:eastAsia="Times New Roman" w:hAnsi="Verdana" w:cs="Times New Roman"/>
                                  <w:color w:val="FF0000"/>
                                  <w:sz w:val="20"/>
                                  <w:szCs w:val="20"/>
                                  <w:highlight w:val="yellow"/>
                                  <w:lang w:eastAsia="tr-TR"/>
                                </w:rPr>
                                <w:t>“</w:t>
                              </w:r>
                              <w:r w:rsidRPr="002B1C5A">
                                <w:rPr>
                                  <w:rFonts w:ascii="Verdana" w:eastAsia="Times New Roman" w:hAnsi="Verdana" w:cs="Times New Roman"/>
                                  <w:b/>
                                  <w:bCs/>
                                  <w:color w:val="FF0000"/>
                                  <w:sz w:val="20"/>
                                  <w:szCs w:val="20"/>
                                  <w:highlight w:val="yellow"/>
                                  <w:lang w:eastAsia="tr-TR"/>
                                </w:rPr>
                                <w:t>Yetkilendirilmiş gümrük müşavirinin sorumluluğu</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b/>
                                  <w:bCs/>
                                  <w:color w:val="FF0000"/>
                                  <w:sz w:val="18"/>
                                  <w:szCs w:val="18"/>
                                  <w:highlight w:val="yellow"/>
                                  <w:lang w:eastAsia="tr-TR"/>
                                </w:rPr>
                                <w:t>MADDE 575 –</w:t>
                              </w:r>
                              <w:r w:rsidRPr="002B1C5A">
                                <w:rPr>
                                  <w:rFonts w:ascii="Verdana" w:eastAsia="Times New Roman" w:hAnsi="Verdana" w:cs="Times New Roman"/>
                                  <w:color w:val="FF0000"/>
                                  <w:sz w:val="18"/>
                                  <w:szCs w:val="18"/>
                                  <w:highlight w:val="yellow"/>
                                  <w:lang w:eastAsia="tr-TR"/>
                                </w:rPr>
                                <w:t> (1) Yetkilendirilmiş gümrük müşavirleri, yapmış oldukları tespit işlemleri ve bunlara ilişkin düzenlenen raporların ve onayladıkları EUR.1/EUR.MED ve A.TR dolaşım belgelerinin doğruluğundan sorumludur. Yaptıkları tespit işlemleri ve bunlara ilişkin raporların doğru olmaması halinde, tespit işleminin kapsamı ile sınırlı olmak üzere, </w:t>
                              </w:r>
                              <w:proofErr w:type="spellStart"/>
                              <w:r w:rsidRPr="002B1C5A">
                                <w:rPr>
                                  <w:rFonts w:ascii="Verdana" w:eastAsia="Times New Roman" w:hAnsi="Verdana" w:cs="Times New Roman"/>
                                  <w:color w:val="FF0000"/>
                                  <w:sz w:val="18"/>
                                  <w:szCs w:val="18"/>
                                  <w:highlight w:val="yellow"/>
                                  <w:lang w:eastAsia="tr-TR"/>
                                </w:rPr>
                                <w:t>ziyaa</w:t>
                              </w:r>
                              <w:proofErr w:type="spellEnd"/>
                              <w:r w:rsidRPr="002B1C5A">
                                <w:rPr>
                                  <w:rFonts w:ascii="Verdana" w:eastAsia="Times New Roman" w:hAnsi="Verdana" w:cs="Times New Roman"/>
                                  <w:color w:val="FF0000"/>
                                  <w:sz w:val="18"/>
                                  <w:szCs w:val="18"/>
                                  <w:highlight w:val="yellow"/>
                                  <w:lang w:eastAsia="tr-TR"/>
                                </w:rPr>
                                <w:t> uğratılan vergilerden ve kesilecek cezalardan yükümlü ile birlikte müştereken ve </w:t>
                              </w:r>
                              <w:proofErr w:type="spellStart"/>
                              <w:r w:rsidRPr="002B1C5A">
                                <w:rPr>
                                  <w:rFonts w:ascii="Verdana" w:eastAsia="Times New Roman" w:hAnsi="Verdana" w:cs="Times New Roman"/>
                                  <w:color w:val="FF0000"/>
                                  <w:sz w:val="18"/>
                                  <w:szCs w:val="18"/>
                                  <w:highlight w:val="yellow"/>
                                  <w:lang w:eastAsia="tr-TR"/>
                                </w:rPr>
                                <w:t>müteselsilensorumludurlar</w:t>
                              </w:r>
                              <w:proofErr w:type="spellEnd"/>
                              <w:r w:rsidRPr="002B1C5A">
                                <w:rPr>
                                  <w:rFonts w:ascii="Verdana" w:eastAsia="Times New Roman" w:hAnsi="Verdana" w:cs="Times New Roman"/>
                                  <w:color w:val="FF0000"/>
                                  <w:sz w:val="18"/>
                                  <w:szCs w:val="18"/>
                                  <w:highlight w:val="yellow"/>
                                  <w:lang w:eastAsia="tr-TR"/>
                                </w:rPr>
                                <w:t>.”</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32 –</w:t>
                              </w:r>
                              <w:r w:rsidRPr="002B1C5A">
                                <w:rPr>
                                  <w:rFonts w:ascii="Verdana" w:eastAsia="Times New Roman" w:hAnsi="Verdana" w:cs="Times New Roman"/>
                                  <w:color w:val="000000"/>
                                  <w:sz w:val="18"/>
                                  <w:szCs w:val="18"/>
                                  <w:lang w:eastAsia="tr-TR"/>
                                </w:rPr>
                                <w:t> Aynı Yönetmeliğin mülga 576 </w:t>
                              </w:r>
                              <w:proofErr w:type="spellStart"/>
                              <w:r w:rsidRPr="002B1C5A">
                                <w:rPr>
                                  <w:rFonts w:ascii="Verdana" w:eastAsia="Times New Roman" w:hAnsi="Verdana" w:cs="Times New Roman"/>
                                  <w:color w:val="000000"/>
                                  <w:sz w:val="18"/>
                                  <w:szCs w:val="18"/>
                                  <w:lang w:eastAsia="tr-TR"/>
                                </w:rPr>
                                <w:t>ncı</w:t>
                              </w:r>
                              <w:proofErr w:type="spellEnd"/>
                              <w:r w:rsidRPr="002B1C5A">
                                <w:rPr>
                                  <w:rFonts w:ascii="Verdana" w:eastAsia="Times New Roman" w:hAnsi="Verdana" w:cs="Times New Roman"/>
                                  <w:color w:val="000000"/>
                                  <w:sz w:val="18"/>
                                  <w:szCs w:val="18"/>
                                  <w:lang w:eastAsia="tr-TR"/>
                                </w:rPr>
                                <w:t> maddesi aşağıdaki şekilde yeniden düzenlenmiştir.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b/>
                                  <w:bCs/>
                                  <w:color w:val="000000"/>
                                  <w:sz w:val="20"/>
                                  <w:szCs w:val="20"/>
                                  <w:lang w:eastAsia="tr-TR"/>
                                </w:rPr>
                                <w:t>Yetkilendirilmiş gümrük müşavirinin sahip olması gereken nitelikler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576 –</w:t>
                              </w:r>
                              <w:r w:rsidRPr="002B1C5A">
                                <w:rPr>
                                  <w:rFonts w:ascii="Verdana" w:eastAsia="Times New Roman" w:hAnsi="Verdana" w:cs="Times New Roman"/>
                                  <w:color w:val="000000"/>
                                  <w:sz w:val="18"/>
                                  <w:szCs w:val="18"/>
                                  <w:lang w:eastAsia="tr-TR"/>
                                </w:rPr>
                                <w:t> (1) Yetkilendirilmiş gümrük müşavirlerinin aşağıda belirtilen niteliklere sahip olmaları gerekir: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B1C5A">
                                <w:rPr>
                                  <w:rFonts w:ascii="Verdana" w:eastAsia="Times New Roman" w:hAnsi="Verdana" w:cs="Times New Roman"/>
                                  <w:color w:val="000000"/>
                                  <w:sz w:val="18"/>
                                  <w:szCs w:val="18"/>
                                  <w:lang w:eastAsia="tr-TR"/>
                                </w:rPr>
                                <w:t>a) Kanunun 228 inci maddesinin ikinci fıkrasının (a) ve (b) bentleri ile geçici 5 inci maddesinin üçüncü fıkrası uyarınca gümrük müşavirliği izin belgesine sahip olmak ya da Kanunun 228 inci maddesinin birinci fıkrası ile geçici 5 inci maddesinin birinci ve ikinci fıkrası uyarınca hak sahibi olup, en az yedi yıl süre ile gümrük müşavirliği izin belgesine sahip olmak,</w:t>
                              </w:r>
                              <w:proofErr w:type="gramEnd"/>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b) Son beş yıl içinde Kanunun geçici 6 </w:t>
                              </w:r>
                              <w:proofErr w:type="spellStart"/>
                              <w:r w:rsidRPr="002B1C5A">
                                <w:rPr>
                                  <w:rFonts w:ascii="Verdana" w:eastAsia="Times New Roman" w:hAnsi="Verdana" w:cs="Times New Roman"/>
                                  <w:color w:val="000000"/>
                                  <w:sz w:val="20"/>
                                  <w:szCs w:val="20"/>
                                  <w:lang w:eastAsia="tr-TR"/>
                                </w:rPr>
                                <w:t>ncı</w:t>
                              </w:r>
                              <w:proofErr w:type="spellEnd"/>
                              <w:r w:rsidRPr="002B1C5A">
                                <w:rPr>
                                  <w:rFonts w:ascii="Verdana" w:eastAsia="Times New Roman" w:hAnsi="Verdana" w:cs="Times New Roman"/>
                                  <w:color w:val="000000"/>
                                  <w:sz w:val="20"/>
                                  <w:szCs w:val="20"/>
                                  <w:lang w:eastAsia="tr-TR"/>
                                </w:rPr>
                                <w:t> maddesi uyarınca kesinleşmiş geçici olarak mesleki faaliyetten alıkoyma cezası almamış olmak,</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c) Dolaylı temsil suretiyle gümrük idarelerinde iş takip etmemek ve bu amaçla kurulmuş tüzel kişilere ortak olmamak,</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ç) Tespit işlemlerinin yapılacağı kişiler ve antrepo işleticileri ile ortaklık ve çalışan statüde ilişkisi bulunmamak,</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d) Kanunun geçici 6 </w:t>
                              </w:r>
                              <w:proofErr w:type="spellStart"/>
                              <w:r w:rsidRPr="002B1C5A">
                                <w:rPr>
                                  <w:rFonts w:ascii="Verdana" w:eastAsia="Times New Roman" w:hAnsi="Verdana" w:cs="Times New Roman"/>
                                  <w:color w:val="000000"/>
                                  <w:sz w:val="20"/>
                                  <w:szCs w:val="20"/>
                                  <w:lang w:eastAsia="tr-TR"/>
                                </w:rPr>
                                <w:t>ncı</w:t>
                              </w:r>
                              <w:proofErr w:type="spellEnd"/>
                              <w:r w:rsidRPr="002B1C5A">
                                <w:rPr>
                                  <w:rFonts w:ascii="Verdana" w:eastAsia="Times New Roman" w:hAnsi="Verdana" w:cs="Times New Roman"/>
                                  <w:color w:val="000000"/>
                                  <w:sz w:val="20"/>
                                  <w:szCs w:val="20"/>
                                  <w:lang w:eastAsia="tr-TR"/>
                                </w:rPr>
                                <w:t> maddesi uyarınca birden fazla geçici olarak mesleki faaliyetten alıkoyma cezası almamış olmak,</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e) Ertelenmiş, hükmün açıklanması geriye bırakılmış, para cezasına veya tedbire çevrilmiş ya da affa uğramış olsalar bile kaçakçılık, zimmet, ihtilas, </w:t>
                              </w:r>
                              <w:proofErr w:type="gramStart"/>
                              <w:r w:rsidRPr="002B1C5A">
                                <w:rPr>
                                  <w:rFonts w:ascii="Verdana" w:eastAsia="Times New Roman" w:hAnsi="Verdana" w:cs="Times New Roman"/>
                                  <w:color w:val="000000"/>
                                  <w:sz w:val="20"/>
                                  <w:szCs w:val="20"/>
                                  <w:lang w:eastAsia="tr-TR"/>
                                </w:rPr>
                                <w:t>irtikap</w:t>
                              </w:r>
                              <w:proofErr w:type="gramEnd"/>
                              <w:r w:rsidRPr="002B1C5A">
                                <w:rPr>
                                  <w:rFonts w:ascii="Verdana" w:eastAsia="Times New Roman" w:hAnsi="Verdana" w:cs="Times New Roman"/>
                                  <w:color w:val="000000"/>
                                  <w:sz w:val="20"/>
                                  <w:szCs w:val="20"/>
                                  <w:lang w:eastAsia="tr-TR"/>
                                </w:rPr>
                                <w:t xml:space="preserve">, rüşvet, hırsızlık, dolandırıcılık, sahtecilik, inancı kötüye kullanma, dolanlı iflas, yalan yere şahadet, suç </w:t>
                              </w:r>
                              <w:proofErr w:type="spellStart"/>
                              <w:r w:rsidRPr="002B1C5A">
                                <w:rPr>
                                  <w:rFonts w:ascii="Verdana" w:eastAsia="Times New Roman" w:hAnsi="Verdana" w:cs="Times New Roman"/>
                                  <w:color w:val="000000"/>
                                  <w:sz w:val="20"/>
                                  <w:szCs w:val="20"/>
                                  <w:lang w:eastAsia="tr-TR"/>
                                </w:rPr>
                                <w:t>tasnii</w:t>
                              </w:r>
                              <w:proofErr w:type="spellEnd"/>
                              <w:r w:rsidRPr="002B1C5A">
                                <w:rPr>
                                  <w:rFonts w:ascii="Verdana" w:eastAsia="Times New Roman" w:hAnsi="Verdana" w:cs="Times New Roman"/>
                                  <w:color w:val="000000"/>
                                  <w:sz w:val="20"/>
                                  <w:szCs w:val="20"/>
                                  <w:lang w:eastAsia="tr-TR"/>
                                </w:rPr>
                                <w:t>, iftira, resmi ihale ve alım satımlara fesat karıştırma, devlet sırlarını açığa vurma, suçtan kaynaklanan malvarlığı değerlerini aklama, vergi kaçakçılığı veya vergi kaçakçılığına teşebbüs suçlarından ceza almamış olmak,</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color w:val="FF0000"/>
                                  <w:sz w:val="20"/>
                                  <w:szCs w:val="20"/>
                                  <w:highlight w:val="yellow"/>
                                  <w:lang w:eastAsia="tr-TR"/>
                                </w:rPr>
                                <w:t>f) 4458 sayılı Kanunun geçici 6 </w:t>
                              </w:r>
                              <w:proofErr w:type="spellStart"/>
                              <w:r w:rsidRPr="002B1C5A">
                                <w:rPr>
                                  <w:rFonts w:ascii="Verdana" w:eastAsia="Times New Roman" w:hAnsi="Verdana" w:cs="Times New Roman"/>
                                  <w:color w:val="FF0000"/>
                                  <w:sz w:val="20"/>
                                  <w:szCs w:val="20"/>
                                  <w:highlight w:val="yellow"/>
                                  <w:lang w:eastAsia="tr-TR"/>
                                </w:rPr>
                                <w:t>ncı</w:t>
                              </w:r>
                              <w:proofErr w:type="spellEnd"/>
                              <w:r w:rsidRPr="002B1C5A">
                                <w:rPr>
                                  <w:rFonts w:ascii="Verdana" w:eastAsia="Times New Roman" w:hAnsi="Verdana" w:cs="Times New Roman"/>
                                  <w:color w:val="FF0000"/>
                                  <w:sz w:val="20"/>
                                  <w:szCs w:val="20"/>
                                  <w:highlight w:val="yellow"/>
                                  <w:lang w:eastAsia="tr-TR"/>
                                </w:rPr>
                                <w:t> maddesi uyarınca son üç yıl içerisinde üçten fazla uyarma veya kınama cezası almamış olmak,</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highlight w:val="yellow"/>
                                  <w:lang w:eastAsia="tr-TR"/>
                                </w:rPr>
                              </w:pPr>
                              <w:r w:rsidRPr="002B1C5A">
                                <w:rPr>
                                  <w:rFonts w:ascii="Verdana" w:eastAsia="Times New Roman" w:hAnsi="Verdana" w:cs="Times New Roman"/>
                                  <w:color w:val="FF0000"/>
                                  <w:sz w:val="20"/>
                                  <w:szCs w:val="20"/>
                                  <w:highlight w:val="yellow"/>
                                  <w:lang w:eastAsia="tr-TR"/>
                                </w:rPr>
                                <w:t>g) En az dört yıllık lisans eğitimi veren hukuk, iktisat, siyasal bilgiler, işletme, iktisadi ve idari bilimler fakülteleriyle bunlara denkliği yetkili makamlarca kabul olunan yurt içi ya da yurt dışındaki öğrenim kurumlarından birinden mezun olmak,</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color w:val="FF0000"/>
                                  <w:sz w:val="20"/>
                                  <w:szCs w:val="20"/>
                                  <w:highlight w:val="yellow"/>
                                  <w:lang w:eastAsia="tr-TR"/>
                                </w:rPr>
                                <w:t>ğ) Altmış beş yaşını doldurmamış olmak.</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(2) Birinci fıkrada sayılan niteliklere sahip olan gümrük müşaviri gerekli evraklarla Bakanlığa müracaat eder. Bakanlıkça yapılan değerlendirme sonucunda düzenlenmesi uygun bulunan Yetkilendirilmiş Gümrük Müşavirliği Yetki Belgesinin geçerlilik süresi 3 yıldır. Bu süre birinci fıkranın (ğ) bendinde yer alan nitelik dikkate alınarak daha kısa belirlenir.”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33 – </w:t>
                              </w:r>
                              <w:r w:rsidRPr="002B1C5A">
                                <w:rPr>
                                  <w:rFonts w:ascii="Verdana" w:eastAsia="Times New Roman" w:hAnsi="Verdana" w:cs="Times New Roman"/>
                                  <w:color w:val="000000"/>
                                  <w:sz w:val="18"/>
                                  <w:szCs w:val="18"/>
                                  <w:lang w:eastAsia="tr-TR"/>
                                </w:rPr>
                                <w:t>Aynı Yönetmeliğin mülga 577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maddesi aşağıdaki şekilde yeniden düzenlenmiştir.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b/>
                                  <w:bCs/>
                                  <w:color w:val="000000"/>
                                  <w:sz w:val="20"/>
                                  <w:szCs w:val="20"/>
                                  <w:lang w:eastAsia="tr-TR"/>
                                </w:rPr>
                                <w:t>Yetkilendirilmiş gümrük müşaviri yanında çalışılan süreler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B1C5A">
                                <w:rPr>
                                  <w:rFonts w:ascii="Verdana" w:eastAsia="Times New Roman" w:hAnsi="Verdana" w:cs="Times New Roman"/>
                                  <w:b/>
                                  <w:bCs/>
                                  <w:color w:val="000000"/>
                                  <w:sz w:val="18"/>
                                  <w:szCs w:val="18"/>
                                  <w:lang w:eastAsia="tr-TR"/>
                                </w:rPr>
                                <w:t>MADDE 577 –</w:t>
                              </w:r>
                              <w:r w:rsidRPr="002B1C5A">
                                <w:rPr>
                                  <w:rFonts w:ascii="Verdana" w:eastAsia="Times New Roman" w:hAnsi="Verdana" w:cs="Times New Roman"/>
                                  <w:color w:val="000000"/>
                                  <w:sz w:val="18"/>
                                  <w:szCs w:val="18"/>
                                  <w:lang w:eastAsia="tr-TR"/>
                                </w:rPr>
                                <w:t> (1) Yetkilendirilmiş gümrük müşavirlerince özel ve genel antrepo eşya giriş ve çıkış işlemlerinin tespitiyle ilgili olarak görevlendirilen kişilerin, Kanunun 227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maddesinin birinci fıkrasının (a), (b), (c), (d), (e) ve (f)</w:t>
                              </w:r>
                              <w:proofErr w:type="spellStart"/>
                              <w:r w:rsidRPr="002B1C5A">
                                <w:rPr>
                                  <w:rFonts w:ascii="Verdana" w:eastAsia="Times New Roman" w:hAnsi="Verdana" w:cs="Times New Roman"/>
                                  <w:color w:val="000000"/>
                                  <w:sz w:val="18"/>
                                  <w:szCs w:val="18"/>
                                  <w:lang w:eastAsia="tr-TR"/>
                                </w:rPr>
                                <w:t>bendlerinde</w:t>
                              </w:r>
                              <w:proofErr w:type="spellEnd"/>
                              <w:r w:rsidRPr="002B1C5A">
                                <w:rPr>
                                  <w:rFonts w:ascii="Verdana" w:eastAsia="Times New Roman" w:hAnsi="Verdana" w:cs="Times New Roman"/>
                                  <w:color w:val="000000"/>
                                  <w:sz w:val="18"/>
                                  <w:szCs w:val="18"/>
                                  <w:lang w:eastAsia="tr-TR"/>
                                </w:rPr>
                                <w:t> belirtilen şartları haiz olmaları kaydıyla, yetkilendirilmiş gümrük müşavirleri yanında çalıştıkları süreler, anılan maddenin (g) bendinde belirtilen staj süresinden sayılır. </w:t>
                              </w:r>
                              <w:proofErr w:type="gramEnd"/>
                              <w:r w:rsidRPr="002B1C5A">
                                <w:rPr>
                                  <w:rFonts w:ascii="Verdana" w:eastAsia="Times New Roman" w:hAnsi="Verdana" w:cs="Times New Roman"/>
                                  <w:color w:val="000000"/>
                                  <w:sz w:val="18"/>
                                  <w:szCs w:val="18"/>
                                  <w:lang w:eastAsia="tr-TR"/>
                                </w:rPr>
                                <w:t xml:space="preserve">Bu kişilerin gümrük müşavir yardımcısı olmaları durumunda, anılan Kanunun 228 inci maddesinin birinci fıkrasında belirtilen şartları haiz </w:t>
                              </w:r>
                              <w:r w:rsidRPr="002B1C5A">
                                <w:rPr>
                                  <w:rFonts w:ascii="Verdana" w:eastAsia="Times New Roman" w:hAnsi="Verdana" w:cs="Times New Roman"/>
                                  <w:color w:val="000000"/>
                                  <w:sz w:val="18"/>
                                  <w:szCs w:val="18"/>
                                  <w:lang w:eastAsia="tr-TR"/>
                                </w:rPr>
                                <w:lastRenderedPageBreak/>
                                <w:t>olmaları kaydıyla, yetkilendirilmiş gümrük müşaviri yanında çalıştıkları süreler değerlendirmeye alınır.”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34 –</w:t>
                              </w:r>
                              <w:r w:rsidRPr="002B1C5A">
                                <w:rPr>
                                  <w:rFonts w:ascii="Verdana" w:eastAsia="Times New Roman" w:hAnsi="Verdana" w:cs="Times New Roman"/>
                                  <w:color w:val="000000"/>
                                  <w:sz w:val="18"/>
                                  <w:szCs w:val="18"/>
                                  <w:lang w:eastAsia="tr-TR"/>
                                </w:rPr>
                                <w:t> Aynı Yönetmeliğin mülga 578 inci maddesi aşağıdaki şekilde yeniden düzenlenmiştir.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b/>
                                  <w:bCs/>
                                  <w:color w:val="000000"/>
                                  <w:sz w:val="20"/>
                                  <w:szCs w:val="20"/>
                                  <w:lang w:eastAsia="tr-TR"/>
                                </w:rPr>
                                <w:t>Yetkilendirilmiş gümrük müşavirlerine uygulanacak cezalar ve yetki belgesinin geri alınması</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578 –</w:t>
                              </w:r>
                              <w:r w:rsidRPr="002B1C5A">
                                <w:rPr>
                                  <w:rFonts w:ascii="Verdana" w:eastAsia="Times New Roman" w:hAnsi="Verdana" w:cs="Times New Roman"/>
                                  <w:color w:val="000000"/>
                                  <w:sz w:val="18"/>
                                  <w:szCs w:val="18"/>
                                  <w:lang w:eastAsia="tr-TR"/>
                                </w:rPr>
                                <w:t> (1) Yetkilendirilmiş gümrük müşavirlerince yapılan tespit işlemlerine ilişkin olarak mevzuata aykırı durumların belirlenmesi halinde haklarında Kanunun geçici 6 </w:t>
                              </w:r>
                              <w:proofErr w:type="spellStart"/>
                              <w:r w:rsidRPr="002B1C5A">
                                <w:rPr>
                                  <w:rFonts w:ascii="Verdana" w:eastAsia="Times New Roman" w:hAnsi="Verdana" w:cs="Times New Roman"/>
                                  <w:color w:val="000000"/>
                                  <w:sz w:val="18"/>
                                  <w:szCs w:val="18"/>
                                  <w:lang w:eastAsia="tr-TR"/>
                                </w:rPr>
                                <w:t>ncı</w:t>
                              </w:r>
                              <w:proofErr w:type="spellEnd"/>
                              <w:r w:rsidRPr="002B1C5A">
                                <w:rPr>
                                  <w:rFonts w:ascii="Verdana" w:eastAsia="Times New Roman" w:hAnsi="Verdana" w:cs="Times New Roman"/>
                                  <w:color w:val="000000"/>
                                  <w:sz w:val="18"/>
                                  <w:szCs w:val="18"/>
                                  <w:lang w:eastAsia="tr-TR"/>
                                </w:rPr>
                                <w:t> maddesi hükümleri uygulanır.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B1C5A">
                                <w:rPr>
                                  <w:rFonts w:ascii="Verdana" w:eastAsia="Times New Roman" w:hAnsi="Verdana" w:cs="Times New Roman"/>
                                  <w:color w:val="000000"/>
                                  <w:sz w:val="18"/>
                                  <w:szCs w:val="18"/>
                                  <w:lang w:eastAsia="tr-TR"/>
                                </w:rPr>
                                <w:t>(2) Yetkilendirilmiş gümrük müşaviri olabilme şartlarından birinin kaybedilmesi, tespit işlemleri ile ilgili olarak Bakanlıkça belirlenen asgari ücret tarifesinin altında hizmet verilmesi, görevin bağımsızlık, tarafsızlık ve dürüstlükle yapılmaması veya kusurlu olarak yapılması ya da Kanunda yer alan mesleğin genel prensiplerine aykırı harekette bulunulması veya dolaylı temsil suretiyle faaliyet gösteren gümrük müşavirleriyle ya da tespit işlemini yaptıran yükümlü ile doğrudan veya dolaylı iş ilişkisi içinde olduğunun tespit edilmesi durumlarında yetkilendirilmiş gümrük müşavirlerinin yetki belgeleri geri alınır. </w:t>
                              </w:r>
                              <w:proofErr w:type="gramEnd"/>
                              <w:r w:rsidRPr="002B1C5A">
                                <w:rPr>
                                  <w:rFonts w:ascii="Verdana" w:eastAsia="Times New Roman" w:hAnsi="Verdana" w:cs="Times New Roman"/>
                                  <w:color w:val="000000"/>
                                  <w:sz w:val="18"/>
                                  <w:szCs w:val="18"/>
                                  <w:lang w:eastAsia="tr-TR"/>
                                </w:rPr>
                                <w:t>Bu şekilde yetki belgeleri geri alınan gümrük müşavirlerine beş yıl süreyle tekrar yetki belgesi verilmez.</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(3) Asgari ücret tarifesinin altında hizmet verildiğinin tespit edildiği, ancak bu durumun maddi hatadan kaynaklandığının anlaşıldığı hallerde ikinci fıkra hükümleri uygulanmaz. Bu durumda yetkilendirilmiş gümrük müşaviri yazılı olarak uyarılır. Yazılı uyarıya rağmen sözleşme ücretinde gerekli düzeltmeleri yapmayan veya benzer hataları tekrarlayan yetkilendirilmiş gümrük müşavirine ait yetki belgesi, altı ay süreyle geri alınır.</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color w:val="FF0000"/>
                                  <w:sz w:val="20"/>
                                  <w:szCs w:val="20"/>
                                  <w:lang w:eastAsia="tr-TR"/>
                                </w:rPr>
                                <w:t>(4) Tüzel kişilik bünyesinde gerçekleştirilen işlemlerde, işlemi gerçekleştiren yetkilendirilmiş gümrük müşavirinin yanı sıra şirketi temsil ve ilzama yetkili yetkilendirilmiş gümrük müşaviri hakkında da ikinci fıkra hükmü uygulanır.</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color w:val="FF0000"/>
                                  <w:sz w:val="20"/>
                                  <w:szCs w:val="20"/>
                                  <w:lang w:eastAsia="tr-TR"/>
                                </w:rPr>
                                <w:t>(5) Yetkilendirilmiş gümrük müşavirlerinin yetki belgesinin geri alınması, ayrıca Kanunun geçici 6 </w:t>
                              </w:r>
                              <w:proofErr w:type="spellStart"/>
                              <w:r w:rsidRPr="002B1C5A">
                                <w:rPr>
                                  <w:rFonts w:ascii="Verdana" w:eastAsia="Times New Roman" w:hAnsi="Verdana" w:cs="Times New Roman"/>
                                  <w:color w:val="FF0000"/>
                                  <w:sz w:val="20"/>
                                  <w:szCs w:val="20"/>
                                  <w:lang w:eastAsia="tr-TR"/>
                                </w:rPr>
                                <w:t>ncı</w:t>
                              </w:r>
                              <w:proofErr w:type="spellEnd"/>
                              <w:r w:rsidRPr="002B1C5A">
                                <w:rPr>
                                  <w:rFonts w:ascii="Verdana" w:eastAsia="Times New Roman" w:hAnsi="Verdana" w:cs="Times New Roman"/>
                                  <w:color w:val="FF0000"/>
                                  <w:sz w:val="20"/>
                                  <w:szCs w:val="20"/>
                                  <w:lang w:eastAsia="tr-TR"/>
                                </w:rPr>
                                <w:t> maddesi uyarınca disiplin cezası verilmesine engel teşkil etmez.”</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b/>
                                  <w:bCs/>
                                  <w:color w:val="FF0000"/>
                                  <w:sz w:val="18"/>
                                  <w:szCs w:val="18"/>
                                  <w:highlight w:val="yellow"/>
                                  <w:lang w:eastAsia="tr-TR"/>
                                </w:rPr>
                                <w:t>MADDE 35 –</w:t>
                              </w:r>
                              <w:r w:rsidRPr="002B1C5A">
                                <w:rPr>
                                  <w:rFonts w:ascii="Verdana" w:eastAsia="Times New Roman" w:hAnsi="Verdana" w:cs="Times New Roman"/>
                                  <w:color w:val="FF0000"/>
                                  <w:sz w:val="18"/>
                                  <w:szCs w:val="18"/>
                                  <w:highlight w:val="yellow"/>
                                  <w:lang w:eastAsia="tr-TR"/>
                                </w:rPr>
                                <w:t> Aynı Yönetmeliğin geçici 6 </w:t>
                              </w:r>
                              <w:proofErr w:type="spellStart"/>
                              <w:r w:rsidRPr="002B1C5A">
                                <w:rPr>
                                  <w:rFonts w:ascii="Verdana" w:eastAsia="Times New Roman" w:hAnsi="Verdana" w:cs="Times New Roman"/>
                                  <w:color w:val="FF0000"/>
                                  <w:sz w:val="18"/>
                                  <w:szCs w:val="18"/>
                                  <w:highlight w:val="yellow"/>
                                  <w:lang w:eastAsia="tr-TR"/>
                                </w:rPr>
                                <w:t>ncı</w:t>
                              </w:r>
                              <w:proofErr w:type="spellEnd"/>
                              <w:r w:rsidRPr="002B1C5A">
                                <w:rPr>
                                  <w:rFonts w:ascii="Verdana" w:eastAsia="Times New Roman" w:hAnsi="Verdana" w:cs="Times New Roman"/>
                                  <w:color w:val="FF0000"/>
                                  <w:sz w:val="18"/>
                                  <w:szCs w:val="18"/>
                                  <w:highlight w:val="yellow"/>
                                  <w:lang w:eastAsia="tr-TR"/>
                                </w:rPr>
                                <w:t> maddesi yürürlükten kaldırılmıştır.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36 –</w:t>
                              </w:r>
                              <w:r w:rsidRPr="002B1C5A">
                                <w:rPr>
                                  <w:rFonts w:ascii="Verdana" w:eastAsia="Times New Roman" w:hAnsi="Verdana" w:cs="Times New Roman"/>
                                  <w:color w:val="000000"/>
                                  <w:sz w:val="18"/>
                                  <w:szCs w:val="18"/>
                                  <w:lang w:eastAsia="tr-TR"/>
                                </w:rPr>
                                <w:t> Aynı Yönetmeliğe aşağıdaki geçici madde eklenmiştir.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highlight w:val="yellow"/>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b/>
                                  <w:bCs/>
                                  <w:color w:val="FF0000"/>
                                  <w:sz w:val="20"/>
                                  <w:szCs w:val="20"/>
                                  <w:highlight w:val="yellow"/>
                                  <w:lang w:eastAsia="tr-TR"/>
                                </w:rPr>
                                <w:t>A, B ve C sınıfı onaylanmış kişi statüsüne ilişkin geçici düzenleme</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b/>
                                  <w:bCs/>
                                  <w:color w:val="FF0000"/>
                                  <w:sz w:val="18"/>
                                  <w:szCs w:val="18"/>
                                  <w:highlight w:val="yellow"/>
                                  <w:lang w:eastAsia="tr-TR"/>
                                </w:rPr>
                                <w:t>GEÇİCİ MADDE 9 –</w:t>
                              </w:r>
                              <w:r w:rsidRPr="002B1C5A">
                                <w:rPr>
                                  <w:rFonts w:ascii="Verdana" w:eastAsia="Times New Roman" w:hAnsi="Verdana" w:cs="Times New Roman"/>
                                  <w:color w:val="FF0000"/>
                                  <w:sz w:val="18"/>
                                  <w:szCs w:val="18"/>
                                  <w:highlight w:val="yellow"/>
                                  <w:lang w:eastAsia="tr-TR"/>
                                </w:rPr>
                                <w:t> (1) Bu maddenin yürürlüğe girdiği tarihten önce düzenlenmiş olan ve geçerliliğini koruyan tüm A ve B sınıfı onaylanmış kişi statü belgelerinin süresi </w:t>
                              </w:r>
                              <w:proofErr w:type="gramStart"/>
                              <w:r w:rsidRPr="002B1C5A">
                                <w:rPr>
                                  <w:rFonts w:ascii="Verdana" w:eastAsia="Times New Roman" w:hAnsi="Verdana" w:cs="Times New Roman"/>
                                  <w:color w:val="FF0000"/>
                                  <w:sz w:val="18"/>
                                  <w:szCs w:val="18"/>
                                  <w:highlight w:val="yellow"/>
                                  <w:lang w:eastAsia="tr-TR"/>
                                </w:rPr>
                                <w:t>15/8/2017</w:t>
                              </w:r>
                              <w:proofErr w:type="gramEnd"/>
                              <w:r w:rsidRPr="002B1C5A">
                                <w:rPr>
                                  <w:rFonts w:ascii="Verdana" w:eastAsia="Times New Roman" w:hAnsi="Verdana" w:cs="Times New Roman"/>
                                  <w:color w:val="FF0000"/>
                                  <w:sz w:val="18"/>
                                  <w:szCs w:val="18"/>
                                  <w:highlight w:val="yellow"/>
                                  <w:lang w:eastAsia="tr-TR"/>
                                </w:rPr>
                                <w:t> tarihine kadar uzatılır.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(2) Bu madde kapsamında süresi uzatılan A ve B sınıfı onaylanmış kişi statü belgelerinin askıya alınması, geri alınması ve iptaline ilişkin usul ve esaslar Bakanlıkça belirlenir.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(3) Bu madde kapsamında süresi uzatılan A ve B sınıfı onaylanmış kişi statü belgeleri kapsamında yararlanılacak hak ve yetkiler ile bu hak ve yetkilerin askıya alınması ve geri alınmasına ilişkin usul ve esaslar Bakanlıkça belirlenir.</w:t>
                              </w:r>
                            </w:p>
                            <w:p w:rsidR="002B1C5A" w:rsidRPr="002B1C5A" w:rsidRDefault="002B1C5A" w:rsidP="002B1C5A">
                              <w:pPr>
                                <w:spacing w:after="0" w:line="240" w:lineRule="atLeast"/>
                                <w:ind w:firstLine="566"/>
                                <w:jc w:val="both"/>
                                <w:rPr>
                                  <w:rFonts w:ascii="Times New Roman" w:eastAsia="Times New Roman" w:hAnsi="Times New Roman" w:cs="Times New Roman"/>
                                  <w:color w:val="FF0000"/>
                                  <w:sz w:val="19"/>
                                  <w:szCs w:val="19"/>
                                  <w:lang w:eastAsia="tr-TR"/>
                                </w:rPr>
                              </w:pPr>
                              <w:r w:rsidRPr="002B1C5A">
                                <w:rPr>
                                  <w:rFonts w:ascii="Verdana" w:eastAsia="Times New Roman" w:hAnsi="Verdana" w:cs="Times New Roman"/>
                                  <w:color w:val="FF0000"/>
                                  <w:sz w:val="20"/>
                                  <w:szCs w:val="20"/>
                                  <w:highlight w:val="yellow"/>
                                  <w:lang w:eastAsia="tr-TR"/>
                                </w:rPr>
                                <w:t>(4) </w:t>
                              </w:r>
                              <w:proofErr w:type="gramStart"/>
                              <w:r w:rsidRPr="002B1C5A">
                                <w:rPr>
                                  <w:rFonts w:ascii="Verdana" w:eastAsia="Times New Roman" w:hAnsi="Verdana" w:cs="Times New Roman"/>
                                  <w:color w:val="FF0000"/>
                                  <w:sz w:val="20"/>
                                  <w:szCs w:val="20"/>
                                  <w:highlight w:val="yellow"/>
                                  <w:lang w:eastAsia="tr-TR"/>
                                </w:rPr>
                                <w:t>15/8/2017</w:t>
                              </w:r>
                              <w:proofErr w:type="gramEnd"/>
                              <w:r w:rsidRPr="002B1C5A">
                                <w:rPr>
                                  <w:rFonts w:ascii="Verdana" w:eastAsia="Times New Roman" w:hAnsi="Verdana" w:cs="Times New Roman"/>
                                  <w:color w:val="FF0000"/>
                                  <w:sz w:val="20"/>
                                  <w:szCs w:val="20"/>
                                  <w:highlight w:val="yellow"/>
                                  <w:lang w:eastAsia="tr-TR"/>
                                </w:rPr>
                                <w:t> tarihinden önce düzenlenmiş olan ve geçerliliğini korumaya devam eden tüm C sınıfı onaylanmış kişi statü belgeleri 15/8/2017 tarihi itibariyle mevcut belgenin geçerlilik süresi sonuna kadar geçerli olmak üzere onaylanmış kişi statü belgesi olarak değiştirilir.”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37 –</w:t>
                              </w:r>
                              <w:r w:rsidRPr="002B1C5A">
                                <w:rPr>
                                  <w:rFonts w:ascii="Verdana" w:eastAsia="Times New Roman" w:hAnsi="Verdana" w:cs="Times New Roman"/>
                                  <w:color w:val="000000"/>
                                  <w:sz w:val="18"/>
                                  <w:szCs w:val="18"/>
                                  <w:lang w:eastAsia="tr-TR"/>
                                </w:rPr>
                                <w:t> Aynı Yönetmeliğin Ek-6’sının 23 ve 24 numaralı satırları arasına aşağıdaki 1 inci tabloda yer alan satır, 27 ve 28 numaralı satırları arasına ise 2 </w:t>
                              </w:r>
                              <w:proofErr w:type="spellStart"/>
                              <w:r w:rsidRPr="002B1C5A">
                                <w:rPr>
                                  <w:rFonts w:ascii="Verdana" w:eastAsia="Times New Roman" w:hAnsi="Verdana" w:cs="Times New Roman"/>
                                  <w:color w:val="000000"/>
                                  <w:sz w:val="18"/>
                                  <w:szCs w:val="18"/>
                                  <w:lang w:eastAsia="tr-TR"/>
                                </w:rPr>
                                <w:t>nci</w:t>
                              </w:r>
                              <w:proofErr w:type="spellEnd"/>
                              <w:r w:rsidRPr="002B1C5A">
                                <w:rPr>
                                  <w:rFonts w:ascii="Verdana" w:eastAsia="Times New Roman" w:hAnsi="Verdana" w:cs="Times New Roman"/>
                                  <w:color w:val="000000"/>
                                  <w:sz w:val="18"/>
                                  <w:szCs w:val="18"/>
                                  <w:lang w:eastAsia="tr-TR"/>
                                </w:rPr>
                                <w:t> tabloda yer alan satır eklenmiştir.</w:t>
                              </w:r>
                            </w:p>
                            <w:p w:rsidR="002B1C5A" w:rsidRPr="002B1C5A" w:rsidRDefault="002B1C5A" w:rsidP="002B1C5A">
                              <w:pPr>
                                <w:spacing w:after="0" w:line="240" w:lineRule="atLeast"/>
                                <w:jc w:val="both"/>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w:t>
                              </w:r>
                              <w:bookmarkStart w:id="0" w:name="_GoBack"/>
                              <w:bookmarkEnd w:id="0"/>
                            </w:p>
                            <w:tbl>
                              <w:tblPr>
                                <w:tblW w:w="8222" w:type="dxa"/>
                                <w:jc w:val="center"/>
                                <w:tblCellMar>
                                  <w:left w:w="0" w:type="dxa"/>
                                  <w:right w:w="0" w:type="dxa"/>
                                </w:tblCellMar>
                                <w:tblLook w:val="04A0" w:firstRow="1" w:lastRow="0" w:firstColumn="1" w:lastColumn="0" w:noHBand="0" w:noVBand="1"/>
                              </w:tblPr>
                              <w:tblGrid>
                                <w:gridCol w:w="922"/>
                                <w:gridCol w:w="3408"/>
                                <w:gridCol w:w="3892"/>
                              </w:tblGrid>
                              <w:tr w:rsidR="002B1C5A" w:rsidRPr="002B1C5A">
                                <w:trPr>
                                  <w:trHeight w:val="2562"/>
                                  <w:jc w:val="center"/>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lastRenderedPageBreak/>
                                      <w:t>y</w:t>
                                    </w:r>
                                    <w:proofErr w:type="gramEnd"/>
                                    <w:r w:rsidRPr="002B1C5A">
                                      <w:rPr>
                                        <w:rFonts w:ascii="Verdana" w:eastAsia="Times New Roman" w:hAnsi="Verdana" w:cs="Times New Roman"/>
                                        <w:sz w:val="18"/>
                                        <w:szCs w:val="18"/>
                                        <w:lang w:eastAsia="tr-TR"/>
                                      </w:rPr>
                                      <w:t> 8501</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Kristal silikon </w:t>
                                    </w:r>
                                    <w:proofErr w:type="spellStart"/>
                                    <w:r w:rsidRPr="002B1C5A">
                                      <w:rPr>
                                        <w:rFonts w:ascii="Verdana" w:eastAsia="Times New Roman" w:hAnsi="Verdana" w:cs="Times New Roman"/>
                                        <w:sz w:val="20"/>
                                        <w:szCs w:val="20"/>
                                        <w:lang w:eastAsia="tr-TR"/>
                                      </w:rPr>
                                      <w:t>fotovoltaikmodüller</w:t>
                                    </w:r>
                                    <w:proofErr w:type="spellEnd"/>
                                    <w:r w:rsidRPr="002B1C5A">
                                      <w:rPr>
                                        <w:rFonts w:ascii="Verdana" w:eastAsia="Times New Roman" w:hAnsi="Verdana" w:cs="Times New Roman"/>
                                        <w:sz w:val="20"/>
                                        <w:szCs w:val="20"/>
                                        <w:lang w:eastAsia="tr-TR"/>
                                      </w:rPr>
                                      <w:t> veya panolar</w:t>
                                    </w:r>
                                  </w:p>
                                </w:tc>
                                <w:tc>
                                  <w:tcPr>
                                    <w:tcW w:w="56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Ürünün yer aldığı pozisyon ve 8541 pozisyonu haricinde herhangi bir pozisyonda yer alan girdilerden imalat.</w:t>
                                    </w:r>
                                  </w:p>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 </w:t>
                                    </w:r>
                                  </w:p>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Ürünün 8501 veya 8541 pozisyonlarında sınıflandırılan girdilerden imal edilmesi durumunda, söz konusu girdilerin menşei ürünün menşei olacaktır.</w:t>
                                    </w:r>
                                  </w:p>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 </w:t>
                                    </w:r>
                                  </w:p>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Ürünün birden fazla ülke menşeli 8501 veya 8541 pozisyonlarında sınıflandırılan girdilerden imal edilmesi durumunda, ürün kıymet olarak en yüksek orana sahip girdi ile aynı ülke menşeli olur.</w:t>
                                    </w:r>
                                  </w:p>
                                </w:tc>
                              </w:tr>
                            </w:tbl>
                            <w:p w:rsidR="002B1C5A" w:rsidRPr="002B1C5A" w:rsidRDefault="002B1C5A" w:rsidP="002B1C5A">
                              <w:pPr>
                                <w:spacing w:before="56" w:after="0" w:line="240" w:lineRule="atLeast"/>
                                <w:jc w:val="right"/>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w:t>
                              </w:r>
                            </w:p>
                            <w:p w:rsidR="002B1C5A" w:rsidRPr="002B1C5A" w:rsidRDefault="002B1C5A" w:rsidP="002B1C5A">
                              <w:pPr>
                                <w:spacing w:after="0" w:line="240" w:lineRule="atLeast"/>
                                <w:jc w:val="both"/>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w:t>
                              </w:r>
                            </w:p>
                            <w:tbl>
                              <w:tblPr>
                                <w:tblW w:w="8222" w:type="dxa"/>
                                <w:jc w:val="center"/>
                                <w:tblCellMar>
                                  <w:left w:w="0" w:type="dxa"/>
                                  <w:right w:w="0" w:type="dxa"/>
                                </w:tblCellMar>
                                <w:tblLook w:val="04A0" w:firstRow="1" w:lastRow="0" w:firstColumn="1" w:lastColumn="0" w:noHBand="0" w:noVBand="1"/>
                              </w:tblPr>
                              <w:tblGrid>
                                <w:gridCol w:w="858"/>
                                <w:gridCol w:w="690"/>
                                <w:gridCol w:w="4302"/>
                                <w:gridCol w:w="2372"/>
                              </w:tblGrid>
                              <w:tr w:rsidR="002B1C5A" w:rsidRPr="002B1C5A">
                                <w:trPr>
                                  <w:jc w:val="center"/>
                                </w:trPr>
                                <w:tc>
                                  <w:tcPr>
                                    <w:tcW w:w="8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y</w:t>
                                    </w:r>
                                    <w:proofErr w:type="gramEnd"/>
                                    <w:r w:rsidRPr="002B1C5A">
                                      <w:rPr>
                                        <w:rFonts w:ascii="Verdana" w:eastAsia="Times New Roman" w:hAnsi="Verdana" w:cs="Times New Roman"/>
                                        <w:sz w:val="18"/>
                                        <w:szCs w:val="18"/>
                                        <w:lang w:eastAsia="tr-TR"/>
                                      </w:rPr>
                                      <w:t> 8541</w:t>
                                    </w:r>
                                  </w:p>
                                </w:tc>
                                <w:tc>
                                  <w:tcPr>
                                    <w:tcW w:w="17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 </w:t>
                                    </w:r>
                                  </w:p>
                                </w:tc>
                                <w:tc>
                                  <w:tcPr>
                                    <w:tcW w:w="20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 xml:space="preserve">Kristal </w:t>
                                    </w:r>
                                    <w:proofErr w:type="spellStart"/>
                                    <w:r w:rsidRPr="002B1C5A">
                                      <w:rPr>
                                        <w:rFonts w:ascii="Verdana" w:eastAsia="Times New Roman" w:hAnsi="Verdana" w:cs="Times New Roman"/>
                                        <w:sz w:val="20"/>
                                        <w:szCs w:val="20"/>
                                        <w:lang w:eastAsia="tr-TR"/>
                                      </w:rPr>
                                      <w:t>silikonfotovoltaik</w:t>
                                    </w:r>
                                    <w:proofErr w:type="spellEnd"/>
                                    <w:r w:rsidRPr="002B1C5A">
                                      <w:rPr>
                                        <w:rFonts w:ascii="Verdana" w:eastAsia="Times New Roman" w:hAnsi="Verdana" w:cs="Times New Roman"/>
                                        <w:sz w:val="20"/>
                                        <w:szCs w:val="20"/>
                                        <w:lang w:eastAsia="tr-TR"/>
                                      </w:rPr>
                                      <w:t> </w:t>
                                    </w:r>
                                    <w:proofErr w:type="spellStart"/>
                                    <w:proofErr w:type="gramStart"/>
                                    <w:r w:rsidRPr="002B1C5A">
                                      <w:rPr>
                                        <w:rFonts w:ascii="Verdana" w:eastAsia="Times New Roman" w:hAnsi="Verdana" w:cs="Times New Roman"/>
                                        <w:sz w:val="20"/>
                                        <w:szCs w:val="20"/>
                                        <w:lang w:eastAsia="tr-TR"/>
                                      </w:rPr>
                                      <w:t>hücreler,modüller</w:t>
                                    </w:r>
                                    <w:proofErr w:type="spellEnd"/>
                                    <w:proofErr w:type="gramEnd"/>
                                    <w:r w:rsidRPr="002B1C5A">
                                      <w:rPr>
                                        <w:rFonts w:ascii="Verdana" w:eastAsia="Times New Roman" w:hAnsi="Verdana" w:cs="Times New Roman"/>
                                        <w:sz w:val="20"/>
                                        <w:szCs w:val="20"/>
                                        <w:lang w:eastAsia="tr-TR"/>
                                      </w:rPr>
                                      <w:t> veya panolar</w:t>
                                    </w:r>
                                  </w:p>
                                </w:tc>
                                <w:tc>
                                  <w:tcPr>
                                    <w:tcW w:w="4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Ürünün yer aldığı pozisyon haricinde herhangi bir pozisyonda yer alan girdilerden imalat.</w:t>
                                    </w:r>
                                  </w:p>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 </w:t>
                                    </w:r>
                                  </w:p>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Ürünün 8541 pozisyonunda sınıflandırılan girdilerden imal edilmesi durumunda, söz konusu girdilerin menşei ürünün menşei olacaktır. </w:t>
                                    </w:r>
                                  </w:p>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 </w:t>
                                    </w:r>
                                  </w:p>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Ürünün birden fazla ülke menşeli 8541 pozisyonunda sınıflandırılan girdilerden imal edilmesi durumunda, ürün kıymet olarak en yüksek orana sahip girdi ile aynı ülke menşeli olur.</w:t>
                                    </w:r>
                                  </w:p>
                                </w:tc>
                              </w:tr>
                            </w:tbl>
                            <w:p w:rsidR="002B1C5A" w:rsidRPr="002B1C5A" w:rsidRDefault="002B1C5A" w:rsidP="002B1C5A">
                              <w:pPr>
                                <w:spacing w:after="0" w:line="240" w:lineRule="atLeast"/>
                                <w:jc w:val="right"/>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38 –</w:t>
                              </w:r>
                              <w:r w:rsidRPr="002B1C5A">
                                <w:rPr>
                                  <w:rFonts w:ascii="Verdana" w:eastAsia="Times New Roman" w:hAnsi="Verdana" w:cs="Times New Roman"/>
                                  <w:color w:val="000000"/>
                                  <w:sz w:val="18"/>
                                  <w:szCs w:val="18"/>
                                  <w:lang w:eastAsia="tr-TR"/>
                                </w:rPr>
                                <w:t> Aynı Yönetmeliğin Ek 77/A’sı ekteki şekilde değiştirilmiştir.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39 –</w:t>
                              </w:r>
                              <w:r w:rsidRPr="002B1C5A">
                                <w:rPr>
                                  <w:rFonts w:ascii="Verdana" w:eastAsia="Times New Roman" w:hAnsi="Verdana" w:cs="Times New Roman"/>
                                  <w:color w:val="000000"/>
                                  <w:sz w:val="18"/>
                                  <w:szCs w:val="18"/>
                                  <w:lang w:eastAsia="tr-TR"/>
                                </w:rPr>
                                <w:t> Aynı Yönetmeliğin Ek-82’sinin 15 numaralı satırı aşağıdaki şekilde değiştirilmiş ve aşağıdaki 50 numaralı satır eklenmiştir.</w:t>
                              </w:r>
                            </w:p>
                            <w:p w:rsidR="002B1C5A" w:rsidRPr="002B1C5A" w:rsidRDefault="002B1C5A" w:rsidP="002B1C5A">
                              <w:pPr>
                                <w:spacing w:after="0" w:line="240" w:lineRule="atLeast"/>
                                <w:jc w:val="both"/>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w:t>
                              </w:r>
                            </w:p>
                            <w:tbl>
                              <w:tblPr>
                                <w:tblW w:w="8222" w:type="dxa"/>
                                <w:jc w:val="center"/>
                                <w:tblCellMar>
                                  <w:left w:w="0" w:type="dxa"/>
                                  <w:right w:w="0" w:type="dxa"/>
                                </w:tblCellMar>
                                <w:tblLook w:val="04A0" w:firstRow="1" w:lastRow="0" w:firstColumn="1" w:lastColumn="0" w:noHBand="0" w:noVBand="1"/>
                              </w:tblPr>
                              <w:tblGrid>
                                <w:gridCol w:w="558"/>
                                <w:gridCol w:w="7664"/>
                              </w:tblGrid>
                              <w:tr w:rsidR="002B1C5A" w:rsidRPr="002B1C5A">
                                <w:trPr>
                                  <w:trHeight w:val="131"/>
                                  <w:jc w:val="center"/>
                                </w:trPr>
                                <w:tc>
                                  <w:tcPr>
                                    <w:tcW w:w="562"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2B1C5A" w:rsidRPr="002B1C5A" w:rsidRDefault="002B1C5A" w:rsidP="002B1C5A">
                                    <w:pPr>
                                      <w:spacing w:after="0" w:line="131"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115</w:t>
                                    </w:r>
                                  </w:p>
                                </w:tc>
                                <w:tc>
                                  <w:tcPr>
                                    <w:tcW w:w="8505" w:type="dxa"/>
                                    <w:tcBorders>
                                      <w:top w:val="single" w:sz="8" w:space="0" w:color="000000"/>
                                      <w:left w:val="nil"/>
                                      <w:bottom w:val="single" w:sz="8" w:space="0" w:color="000000"/>
                                      <w:right w:val="single" w:sz="8" w:space="0" w:color="000000"/>
                                    </w:tcBorders>
                                    <w:tcMar>
                                      <w:top w:w="0" w:type="dxa"/>
                                      <w:left w:w="75" w:type="dxa"/>
                                      <w:bottom w:w="0" w:type="dxa"/>
                                      <w:right w:w="75" w:type="dxa"/>
                                    </w:tcMar>
                                    <w:hideMark/>
                                  </w:tcPr>
                                  <w:p w:rsidR="002B1C5A" w:rsidRPr="002B1C5A" w:rsidRDefault="002B1C5A" w:rsidP="002B1C5A">
                                    <w:pPr>
                                      <w:spacing w:after="0" w:line="131" w:lineRule="atLeast"/>
                                      <w:jc w:val="both"/>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İhracat eşyasının taşınması durumu hariç transit beyannamesinde varış (çıkış) gümrük idaresi değişikliği</w:t>
                                    </w:r>
                                  </w:p>
                                </w:tc>
                              </w:tr>
                            </w:tbl>
                            <w:p w:rsidR="002B1C5A" w:rsidRPr="002B1C5A" w:rsidRDefault="002B1C5A" w:rsidP="002B1C5A">
                              <w:pPr>
                                <w:spacing w:after="0" w:line="240" w:lineRule="atLeast"/>
                                <w:jc w:val="right"/>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w:t>
                              </w:r>
                            </w:p>
                            <w:p w:rsidR="002B1C5A" w:rsidRPr="002B1C5A" w:rsidRDefault="002B1C5A" w:rsidP="002B1C5A">
                              <w:pPr>
                                <w:spacing w:after="0" w:line="240" w:lineRule="atLeast"/>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w:t>
                              </w:r>
                            </w:p>
                            <w:p w:rsidR="002B1C5A" w:rsidRPr="002B1C5A" w:rsidRDefault="002B1C5A" w:rsidP="002B1C5A">
                              <w:pPr>
                                <w:spacing w:after="0" w:line="240" w:lineRule="atLeast"/>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 </w:t>
                              </w:r>
                            </w:p>
                            <w:tbl>
                              <w:tblPr>
                                <w:tblW w:w="8222" w:type="dxa"/>
                                <w:jc w:val="center"/>
                                <w:tblCellMar>
                                  <w:left w:w="0" w:type="dxa"/>
                                  <w:right w:w="0" w:type="dxa"/>
                                </w:tblCellMar>
                                <w:tblLook w:val="04A0" w:firstRow="1" w:lastRow="0" w:firstColumn="1" w:lastColumn="0" w:noHBand="0" w:noVBand="1"/>
                              </w:tblPr>
                              <w:tblGrid>
                                <w:gridCol w:w="550"/>
                                <w:gridCol w:w="7672"/>
                              </w:tblGrid>
                              <w:tr w:rsidR="002B1C5A" w:rsidRPr="002B1C5A">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50</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 xml:space="preserve">Antrepo işleticilerince antrepo stok kayıtlarının Yönetmeliğin 536 ve </w:t>
                                    </w:r>
                                    <w:r w:rsidRPr="002B1C5A">
                                      <w:rPr>
                                        <w:rFonts w:ascii="Verdana" w:eastAsia="Times New Roman" w:hAnsi="Verdana" w:cs="Times New Roman"/>
                                        <w:sz w:val="20"/>
                                        <w:szCs w:val="20"/>
                                        <w:lang w:eastAsia="tr-TR"/>
                                      </w:rPr>
                                      <w:lastRenderedPageBreak/>
                                      <w:t>537 </w:t>
                                    </w:r>
                                    <w:proofErr w:type="spellStart"/>
                                    <w:r w:rsidRPr="002B1C5A">
                                      <w:rPr>
                                        <w:rFonts w:ascii="Verdana" w:eastAsia="Times New Roman" w:hAnsi="Verdana" w:cs="Times New Roman"/>
                                        <w:sz w:val="20"/>
                                        <w:szCs w:val="20"/>
                                        <w:lang w:eastAsia="tr-TR"/>
                                      </w:rPr>
                                      <w:t>nci</w:t>
                                    </w:r>
                                    <w:proofErr w:type="spellEnd"/>
                                    <w:r w:rsidRPr="002B1C5A">
                                      <w:rPr>
                                        <w:rFonts w:ascii="Verdana" w:eastAsia="Times New Roman" w:hAnsi="Verdana" w:cs="Times New Roman"/>
                                        <w:sz w:val="20"/>
                                        <w:szCs w:val="20"/>
                                        <w:lang w:eastAsia="tr-TR"/>
                                      </w:rPr>
                                      <w:t> maddelerine uygun şekilde güncellenmemesi.</w:t>
                                    </w:r>
                                  </w:p>
                                </w:tc>
                              </w:tr>
                            </w:tbl>
                            <w:p w:rsidR="002B1C5A" w:rsidRPr="002B1C5A" w:rsidRDefault="002B1C5A" w:rsidP="002B1C5A">
                              <w:pPr>
                                <w:spacing w:after="0" w:line="240" w:lineRule="atLeast"/>
                                <w:jc w:val="right"/>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lastRenderedPageBreak/>
                                <w:t>”</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40 –</w:t>
                              </w:r>
                              <w:r w:rsidRPr="002B1C5A">
                                <w:rPr>
                                  <w:rFonts w:ascii="Verdana" w:eastAsia="Times New Roman" w:hAnsi="Verdana" w:cs="Times New Roman"/>
                                  <w:color w:val="000000"/>
                                  <w:sz w:val="18"/>
                                  <w:szCs w:val="18"/>
                                  <w:lang w:eastAsia="tr-TR"/>
                                </w:rPr>
                                <w:t> Bu Yönetmeliğin;</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a) 1, 3, 5, 6, 7 ve 9 uncu maddeleri </w:t>
                              </w:r>
                              <w:proofErr w:type="gramStart"/>
                              <w:r w:rsidRPr="002B1C5A">
                                <w:rPr>
                                  <w:rFonts w:ascii="Verdana" w:eastAsia="Times New Roman" w:hAnsi="Verdana" w:cs="Times New Roman"/>
                                  <w:color w:val="000000"/>
                                  <w:sz w:val="20"/>
                                  <w:szCs w:val="20"/>
                                  <w:lang w:eastAsia="tr-TR"/>
                                </w:rPr>
                                <w:t>15/8/2017</w:t>
                              </w:r>
                              <w:proofErr w:type="gramEnd"/>
                              <w:r w:rsidRPr="002B1C5A">
                                <w:rPr>
                                  <w:rFonts w:ascii="Verdana" w:eastAsia="Times New Roman" w:hAnsi="Verdana" w:cs="Times New Roman"/>
                                  <w:color w:val="000000"/>
                                  <w:sz w:val="20"/>
                                  <w:szCs w:val="20"/>
                                  <w:lang w:eastAsia="tr-TR"/>
                                </w:rPr>
                                <w:t> tarihinde,</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b) Diğer maddeleri yayımı tarihinde,</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2B1C5A">
                                <w:rPr>
                                  <w:rFonts w:ascii="Verdana" w:eastAsia="Times New Roman" w:hAnsi="Verdana" w:cs="Times New Roman"/>
                                  <w:color w:val="000000"/>
                                  <w:sz w:val="18"/>
                                  <w:szCs w:val="18"/>
                                  <w:lang w:eastAsia="tr-TR"/>
                                </w:rPr>
                                <w:t>yürürlüğe</w:t>
                              </w:r>
                              <w:proofErr w:type="gramEnd"/>
                              <w:r w:rsidRPr="002B1C5A">
                                <w:rPr>
                                  <w:rFonts w:ascii="Verdana" w:eastAsia="Times New Roman" w:hAnsi="Verdana" w:cs="Times New Roman"/>
                                  <w:color w:val="000000"/>
                                  <w:sz w:val="18"/>
                                  <w:szCs w:val="18"/>
                                  <w:lang w:eastAsia="tr-TR"/>
                                </w:rPr>
                                <w:t> girer.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b/>
                                  <w:bCs/>
                                  <w:color w:val="000000"/>
                                  <w:sz w:val="18"/>
                                  <w:szCs w:val="18"/>
                                  <w:lang w:eastAsia="tr-TR"/>
                                </w:rPr>
                                <w:t>MADDE 41 –</w:t>
                              </w:r>
                              <w:r w:rsidRPr="002B1C5A">
                                <w:rPr>
                                  <w:rFonts w:ascii="Verdana" w:eastAsia="Times New Roman" w:hAnsi="Verdana" w:cs="Times New Roman"/>
                                  <w:color w:val="000000"/>
                                  <w:sz w:val="18"/>
                                  <w:szCs w:val="18"/>
                                  <w:lang w:eastAsia="tr-TR"/>
                                </w:rPr>
                                <w:t> Bu Yönetmelik hükümlerini Gümrük ve Ticaret Bakanı yürütür.</w:t>
                              </w:r>
                            </w:p>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 </w:t>
                              </w:r>
                            </w:p>
                            <w:tbl>
                              <w:tblPr>
                                <w:tblW w:w="8505" w:type="dxa"/>
                                <w:tblCellMar>
                                  <w:left w:w="0" w:type="dxa"/>
                                  <w:right w:w="0" w:type="dxa"/>
                                </w:tblCellMar>
                                <w:tblLook w:val="04A0" w:firstRow="1" w:lastRow="0" w:firstColumn="1" w:lastColumn="0" w:noHBand="0" w:noVBand="1"/>
                              </w:tblPr>
                              <w:tblGrid>
                                <w:gridCol w:w="562"/>
                                <w:gridCol w:w="3763"/>
                                <w:gridCol w:w="4180"/>
                              </w:tblGrid>
                              <w:tr w:rsidR="002B1C5A" w:rsidRPr="002B1C5A">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b/>
                                        <w:bCs/>
                                        <w:sz w:val="20"/>
                                        <w:szCs w:val="20"/>
                                        <w:lang w:eastAsia="tr-TR"/>
                                      </w:rPr>
                                      <w:t>Yönetmeliğin Yayımlandığı Resmî Gazete'nin</w:t>
                                    </w:r>
                                  </w:p>
                                </w:tc>
                              </w:tr>
                              <w:tr w:rsidR="002B1C5A" w:rsidRPr="002B1C5A">
                                <w:tc>
                                  <w:tcPr>
                                    <w:tcW w:w="43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b/>
                                        <w:bCs/>
                                        <w:sz w:val="20"/>
                                        <w:szCs w:val="20"/>
                                        <w:lang w:eastAsia="tr-TR"/>
                                      </w:rPr>
                                      <w:t>Tarihi</w:t>
                                    </w:r>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b/>
                                        <w:bCs/>
                                        <w:sz w:val="20"/>
                                        <w:szCs w:val="20"/>
                                        <w:lang w:eastAsia="tr-TR"/>
                                      </w:rPr>
                                      <w:t>Sayısı</w:t>
                                    </w:r>
                                  </w:p>
                                </w:tc>
                              </w:tr>
                              <w:tr w:rsidR="002B1C5A" w:rsidRPr="002B1C5A">
                                <w:tc>
                                  <w:tcPr>
                                    <w:tcW w:w="43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7/10/2009</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27369 (Mükerrer)</w:t>
                                    </w:r>
                                  </w:p>
                                </w:tc>
                              </w:tr>
                              <w:tr w:rsidR="002B1C5A" w:rsidRPr="002B1C5A">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b/>
                                        <w:bCs/>
                                        <w:sz w:val="20"/>
                                        <w:szCs w:val="20"/>
                                        <w:lang w:eastAsia="tr-TR"/>
                                      </w:rPr>
                                      <w:t>Yönetmelikte Değişiklik Yapan Yönetmeliklerin Yayımlandığı Resmî Gazete'nin</w:t>
                                    </w:r>
                                  </w:p>
                                </w:tc>
                              </w:tr>
                              <w:tr w:rsidR="002B1C5A" w:rsidRPr="002B1C5A">
                                <w:tc>
                                  <w:tcPr>
                                    <w:tcW w:w="431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b/>
                                        <w:bCs/>
                                        <w:sz w:val="20"/>
                                        <w:szCs w:val="20"/>
                                        <w:lang w:eastAsia="tr-TR"/>
                                      </w:rPr>
                                      <w:t>Tarihi</w:t>
                                    </w:r>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b/>
                                        <w:bCs/>
                                        <w:sz w:val="20"/>
                                        <w:szCs w:val="20"/>
                                        <w:lang w:eastAsia="tr-TR"/>
                                      </w:rPr>
                                      <w:t>Sayısı</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31/3/2010</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27538</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2/7/2010</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18"/>
                                        <w:szCs w:val="18"/>
                                        <w:lang w:eastAsia="tr-TR"/>
                                      </w:rPr>
                                      <w:t>27629</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3-</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2/12/2010</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27773</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4-</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31/12/2010</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27802</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5-</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26/3/2011</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27886</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6-</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30/4/2011</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27920</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7-</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23/5/2011</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27942</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8-</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16/7/2011</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27996</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9-</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2/11/2011</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28103</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10-</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28/12/2011</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28156</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11-</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31/3/2012</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28250</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12-</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12/6/2012</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28321</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13-</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20/11/2012</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28473</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14-</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10/1/2013</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28524</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15-</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7/2/2013</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28552</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16-</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5/4/2013</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28609</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17-</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15/5/2013</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28648</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18-</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12/6/2013</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28675</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19-</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3/8/2013</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28727</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20-</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21/11/2013</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                  28828 (Mükerrer)</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21-</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21/5/2014</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29006</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22-</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2/12/2014</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29193</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23-</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31/1/2015</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29253</w:t>
                                    </w:r>
                                  </w:p>
                                </w:tc>
                              </w:tr>
                              <w:tr w:rsidR="002B1C5A" w:rsidRPr="002B1C5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24-</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18/2/2015</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240"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29271</w:t>
                                    </w:r>
                                  </w:p>
                                </w:tc>
                              </w:tr>
                              <w:tr w:rsidR="002B1C5A" w:rsidRPr="002B1C5A">
                                <w:trPr>
                                  <w:trHeight w:val="64"/>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25-</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13/3/2015</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29294</w:t>
                                    </w:r>
                                  </w:p>
                                </w:tc>
                              </w:tr>
                              <w:tr w:rsidR="002B1C5A" w:rsidRPr="002B1C5A">
                                <w:trPr>
                                  <w:trHeight w:val="64"/>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26-</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13/5/2015</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29354</w:t>
                                    </w:r>
                                  </w:p>
                                </w:tc>
                              </w:tr>
                              <w:tr w:rsidR="002B1C5A" w:rsidRPr="002B1C5A">
                                <w:trPr>
                                  <w:trHeight w:val="64"/>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27-</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30/6/2015</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29402</w:t>
                                    </w:r>
                                  </w:p>
                                </w:tc>
                              </w:tr>
                              <w:tr w:rsidR="002B1C5A" w:rsidRPr="002B1C5A">
                                <w:trPr>
                                  <w:trHeight w:val="64"/>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28-</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20/8/2015</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29451</w:t>
                                    </w:r>
                                  </w:p>
                                </w:tc>
                              </w:tr>
                              <w:tr w:rsidR="002B1C5A" w:rsidRPr="002B1C5A">
                                <w:trPr>
                                  <w:trHeight w:val="64"/>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22/1/2016</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29601</w:t>
                                    </w:r>
                                  </w:p>
                                </w:tc>
                              </w:tr>
                              <w:tr w:rsidR="002B1C5A" w:rsidRPr="002B1C5A">
                                <w:trPr>
                                  <w:trHeight w:val="64"/>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30-</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13/2/2016</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29623</w:t>
                                    </w:r>
                                  </w:p>
                                </w:tc>
                              </w:tr>
                              <w:tr w:rsidR="002B1C5A" w:rsidRPr="002B1C5A">
                                <w:trPr>
                                  <w:trHeight w:val="64"/>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31-</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ind w:right="467"/>
                                      <w:jc w:val="center"/>
                                      <w:rPr>
                                        <w:rFonts w:ascii="Times New Roman" w:eastAsia="Times New Roman" w:hAnsi="Times New Roman" w:cs="Times New Roman"/>
                                        <w:sz w:val="24"/>
                                        <w:szCs w:val="24"/>
                                        <w:lang w:eastAsia="tr-TR"/>
                                      </w:rPr>
                                    </w:pPr>
                                    <w:proofErr w:type="gramStart"/>
                                    <w:r w:rsidRPr="002B1C5A">
                                      <w:rPr>
                                        <w:rFonts w:ascii="Verdana" w:eastAsia="Times New Roman" w:hAnsi="Verdana" w:cs="Times New Roman"/>
                                        <w:sz w:val="18"/>
                                        <w:szCs w:val="18"/>
                                        <w:lang w:eastAsia="tr-TR"/>
                                      </w:rPr>
                                      <w:t>29/3/2016</w:t>
                                    </w:r>
                                    <w:proofErr w:type="gramEnd"/>
                                  </w:p>
                                </w:tc>
                                <w:tc>
                                  <w:tcPr>
                                    <w:tcW w:w="4193" w:type="dxa"/>
                                    <w:tcBorders>
                                      <w:top w:val="nil"/>
                                      <w:left w:val="nil"/>
                                      <w:bottom w:val="single" w:sz="8" w:space="0" w:color="auto"/>
                                      <w:right w:val="single" w:sz="8" w:space="0" w:color="auto"/>
                                    </w:tcBorders>
                                    <w:tcMar>
                                      <w:top w:w="0" w:type="dxa"/>
                                      <w:left w:w="108" w:type="dxa"/>
                                      <w:bottom w:w="0" w:type="dxa"/>
                                      <w:right w:w="108" w:type="dxa"/>
                                    </w:tcMar>
                                    <w:hideMark/>
                                  </w:tcPr>
                                  <w:p w:rsidR="002B1C5A" w:rsidRPr="002B1C5A" w:rsidRDefault="002B1C5A" w:rsidP="002B1C5A">
                                    <w:pPr>
                                      <w:spacing w:after="0" w:line="64" w:lineRule="atLeast"/>
                                      <w:jc w:val="center"/>
                                      <w:rPr>
                                        <w:rFonts w:ascii="Times New Roman" w:eastAsia="Times New Roman" w:hAnsi="Times New Roman" w:cs="Times New Roman"/>
                                        <w:sz w:val="24"/>
                                        <w:szCs w:val="24"/>
                                        <w:lang w:eastAsia="tr-TR"/>
                                      </w:rPr>
                                    </w:pPr>
                                    <w:r w:rsidRPr="002B1C5A">
                                      <w:rPr>
                                        <w:rFonts w:ascii="Verdana" w:eastAsia="Times New Roman" w:hAnsi="Verdana" w:cs="Times New Roman"/>
                                        <w:sz w:val="20"/>
                                        <w:szCs w:val="20"/>
                                        <w:lang w:eastAsia="tr-TR"/>
                                      </w:rPr>
                                      <w:t>29668</w:t>
                                    </w:r>
                                  </w:p>
                                </w:tc>
                              </w:tr>
                            </w:tbl>
                            <w:p w:rsidR="002B1C5A" w:rsidRPr="002B1C5A" w:rsidRDefault="002B1C5A" w:rsidP="002B1C5A">
                              <w:pPr>
                                <w:spacing w:after="0" w:line="240" w:lineRule="atLeast"/>
                                <w:ind w:firstLine="566"/>
                                <w:jc w:val="both"/>
                                <w:rPr>
                                  <w:rFonts w:ascii="Times New Roman" w:eastAsia="Times New Roman" w:hAnsi="Times New Roman" w:cs="Times New Roman"/>
                                  <w:color w:val="000000"/>
                                  <w:sz w:val="19"/>
                                  <w:szCs w:val="19"/>
                                  <w:lang w:eastAsia="tr-TR"/>
                                </w:rPr>
                              </w:pPr>
                              <w:r w:rsidRPr="002B1C5A">
                                <w:rPr>
                                  <w:rFonts w:ascii="Verdana" w:eastAsia="Times New Roman" w:hAnsi="Verdana" w:cs="Times New Roman"/>
                                  <w:color w:val="000000"/>
                                  <w:sz w:val="20"/>
                                  <w:szCs w:val="20"/>
                                  <w:lang w:eastAsia="tr-TR"/>
                                </w:rPr>
                                <w:t> </w:t>
                              </w:r>
                            </w:p>
                            <w:p w:rsidR="002B1C5A" w:rsidRPr="002B1C5A" w:rsidRDefault="002B1C5A" w:rsidP="002B1C5A">
                              <w:pPr>
                                <w:spacing w:after="0" w:line="240" w:lineRule="atLeast"/>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w:t>
                              </w:r>
                              <w:r w:rsidRPr="002B1C5A">
                                <w:rPr>
                                  <w:rFonts w:ascii="Verdana" w:eastAsia="Times New Roman" w:hAnsi="Verdana" w:cs="Times New Roman"/>
                                  <w:b/>
                                  <w:bCs/>
                                  <w:color w:val="000000"/>
                                  <w:sz w:val="20"/>
                                  <w:szCs w:val="20"/>
                                  <w:lang w:eastAsia="tr-TR"/>
                                </w:rPr>
                                <w:t>EK 77/A</w:t>
                              </w:r>
                            </w:p>
                            <w:p w:rsidR="002B1C5A" w:rsidRPr="002B1C5A" w:rsidRDefault="002B1C5A" w:rsidP="002B1C5A">
                              <w:pPr>
                                <w:spacing w:after="0" w:line="240" w:lineRule="atLeast"/>
                                <w:jc w:val="center"/>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 </w:t>
                              </w:r>
                            </w:p>
                            <w:p w:rsidR="002B1C5A" w:rsidRPr="002B1C5A" w:rsidRDefault="002B1C5A" w:rsidP="002B1C5A">
                              <w:pPr>
                                <w:spacing w:after="0" w:line="240" w:lineRule="atLeast"/>
                                <w:jc w:val="center"/>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 </w:t>
                              </w:r>
                            </w:p>
                            <w:p w:rsidR="002B1C5A" w:rsidRPr="002B1C5A" w:rsidRDefault="002B1C5A" w:rsidP="002B1C5A">
                              <w:pPr>
                                <w:spacing w:after="0" w:line="240" w:lineRule="atLeast"/>
                                <w:jc w:val="center"/>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BANKA TEMİNAT MEKTUBU ÖRNEĞİ</w:t>
                              </w:r>
                            </w:p>
                            <w:p w:rsidR="002B1C5A" w:rsidRPr="002B1C5A" w:rsidRDefault="002B1C5A" w:rsidP="002B1C5A">
                              <w:pPr>
                                <w:spacing w:after="0" w:line="240" w:lineRule="atLeast"/>
                                <w:jc w:val="center"/>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 </w:t>
                              </w:r>
                            </w:p>
                            <w:p w:rsidR="002B1C5A" w:rsidRPr="002B1C5A" w:rsidRDefault="002B1C5A" w:rsidP="002B1C5A">
                              <w:pPr>
                                <w:spacing w:after="0" w:line="240" w:lineRule="atLeast"/>
                                <w:jc w:val="center"/>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GÜMRÜK VE TİCARET BAKANLIĞI</w:t>
                              </w:r>
                            </w:p>
                            <w:p w:rsidR="002B1C5A" w:rsidRPr="002B1C5A" w:rsidRDefault="002B1C5A" w:rsidP="002B1C5A">
                              <w:pPr>
                                <w:spacing w:after="0" w:line="240" w:lineRule="atLeast"/>
                                <w:ind w:left="5151"/>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ANKARA</w:t>
                              </w:r>
                            </w:p>
                            <w:p w:rsidR="002B1C5A" w:rsidRPr="002B1C5A" w:rsidRDefault="002B1C5A" w:rsidP="002B1C5A">
                              <w:pPr>
                                <w:spacing w:after="0" w:line="240" w:lineRule="atLeast"/>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lastRenderedPageBreak/>
                                <w:t> </w:t>
                              </w:r>
                            </w:p>
                            <w:p w:rsidR="002B1C5A" w:rsidRPr="002B1C5A" w:rsidRDefault="002B1C5A" w:rsidP="002B1C5A">
                              <w:pPr>
                                <w:spacing w:after="0" w:line="240" w:lineRule="atLeast"/>
                                <w:jc w:val="both"/>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 </w:t>
                              </w:r>
                            </w:p>
                            <w:p w:rsidR="002B1C5A" w:rsidRPr="002B1C5A" w:rsidRDefault="002B1C5A" w:rsidP="002B1C5A">
                              <w:pPr>
                                <w:spacing w:after="0" w:line="240" w:lineRule="atLeast"/>
                                <w:jc w:val="both"/>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 </w:t>
                              </w:r>
                            </w:p>
                            <w:p w:rsidR="002B1C5A" w:rsidRPr="002B1C5A" w:rsidRDefault="002B1C5A" w:rsidP="002B1C5A">
                              <w:pPr>
                                <w:spacing w:after="0" w:line="240" w:lineRule="atLeast"/>
                                <w:jc w:val="both"/>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 </w:t>
                              </w:r>
                            </w:p>
                            <w:p w:rsidR="002B1C5A" w:rsidRPr="002B1C5A" w:rsidRDefault="002B1C5A" w:rsidP="002B1C5A">
                              <w:pPr>
                                <w:spacing w:after="0" w:line="240" w:lineRule="atLeast"/>
                                <w:jc w:val="both"/>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Gümrük ve Ticaret Bakanlığında yapılan götürü teminat konusu her türlü gümrük işlemlerine ilişkin olarak kısmen veya tamamen ……………………………………………………………………….’</w:t>
                              </w:r>
                              <w:proofErr w:type="gramStart"/>
                              <w:r w:rsidRPr="002B1C5A">
                                <w:rPr>
                                  <w:rFonts w:ascii="Verdana" w:eastAsia="Times New Roman" w:hAnsi="Verdana" w:cs="Times New Roman"/>
                                  <w:color w:val="000000"/>
                                  <w:sz w:val="20"/>
                                  <w:szCs w:val="20"/>
                                  <w:lang w:eastAsia="tr-TR"/>
                                </w:rPr>
                                <w:t>dan</w:t>
                              </w:r>
                              <w:proofErr w:type="gramEnd"/>
                              <w:r w:rsidRPr="002B1C5A">
                                <w:rPr>
                                  <w:rFonts w:ascii="Verdana" w:eastAsia="Times New Roman" w:hAnsi="Verdana" w:cs="Times New Roman"/>
                                  <w:color w:val="000000"/>
                                  <w:sz w:val="20"/>
                                  <w:szCs w:val="20"/>
                                  <w:lang w:eastAsia="tr-TR"/>
                                </w:rPr>
                                <w:t> tahsili gereken ………………………………………………. (yazıyla</w:t>
                              </w:r>
                              <w:proofErr w:type="gramStart"/>
                              <w:r w:rsidRPr="002B1C5A">
                                <w:rPr>
                                  <w:rFonts w:ascii="Verdana" w:eastAsia="Times New Roman" w:hAnsi="Verdana" w:cs="Times New Roman"/>
                                  <w:color w:val="000000"/>
                                  <w:sz w:val="20"/>
                                  <w:szCs w:val="20"/>
                                  <w:lang w:eastAsia="tr-TR"/>
                                </w:rPr>
                                <w:t>………………………………………………………………..</w:t>
                              </w:r>
                              <w:proofErr w:type="gramEnd"/>
                              <w:r w:rsidRPr="002B1C5A">
                                <w:rPr>
                                  <w:rFonts w:ascii="Verdana" w:eastAsia="Times New Roman" w:hAnsi="Verdana" w:cs="Times New Roman"/>
                                  <w:color w:val="000000"/>
                                  <w:sz w:val="20"/>
                                  <w:szCs w:val="20"/>
                                  <w:lang w:eastAsia="tr-TR"/>
                                </w:rPr>
                                <w:t>) AVRO/TL’ </w:t>
                              </w:r>
                              <w:proofErr w:type="spellStart"/>
                              <w:r w:rsidRPr="002B1C5A">
                                <w:rPr>
                                  <w:rFonts w:ascii="Verdana" w:eastAsia="Times New Roman" w:hAnsi="Verdana" w:cs="Times New Roman"/>
                                  <w:color w:val="000000"/>
                                  <w:sz w:val="20"/>
                                  <w:szCs w:val="20"/>
                                  <w:lang w:eastAsia="tr-TR"/>
                                </w:rPr>
                                <w:t>ni</w:t>
                              </w:r>
                              <w:proofErr w:type="spellEnd"/>
                              <w:r w:rsidRPr="002B1C5A">
                                <w:rPr>
                                  <w:rFonts w:ascii="Verdana" w:eastAsia="Times New Roman" w:hAnsi="Verdana" w:cs="Times New Roman"/>
                                  <w:color w:val="000000"/>
                                  <w:sz w:val="20"/>
                                  <w:szCs w:val="20"/>
                                  <w:lang w:eastAsia="tr-TR"/>
                                </w:rPr>
                                <w:t> gümrük idaresince yapılacak ilk istek üzerine bu durumu ispat eden başka bir belge aramaya lüzum görmeksizin itirazsız ödemeyi taahhüt ettiğimizi ve bu miktarın gümrük idaresince istenmiş olması, istenen miktarın tahsil edilmesi gereken hale geldiğini ifade edeceğinden ve istek tarihinden itibaren 7 gün içinde ödenmemesi halinde 6183 sayılı Amme Alacaklarının Tahsil Usulü Hakkında Kanun hükümlerine göre belirlenen gecikme zammı oranında faiz ödeyeceğimizi, teminat veren </w:t>
                              </w:r>
                              <w:proofErr w:type="gramStart"/>
                              <w:r w:rsidRPr="002B1C5A">
                                <w:rPr>
                                  <w:rFonts w:ascii="Verdana" w:eastAsia="Times New Roman" w:hAnsi="Verdana" w:cs="Times New Roman"/>
                                  <w:color w:val="000000"/>
                                  <w:sz w:val="20"/>
                                  <w:szCs w:val="20"/>
                                  <w:lang w:eastAsia="tr-TR"/>
                                </w:rPr>
                                <w:t>…………………………………………………..</w:t>
                              </w:r>
                              <w:proofErr w:type="gramEnd"/>
                              <w:r w:rsidRPr="002B1C5A">
                                <w:rPr>
                                  <w:rFonts w:ascii="Verdana" w:eastAsia="Times New Roman" w:hAnsi="Verdana" w:cs="Times New Roman"/>
                                  <w:color w:val="000000"/>
                                  <w:sz w:val="20"/>
                                  <w:szCs w:val="20"/>
                                  <w:lang w:eastAsia="tr-TR"/>
                                </w:rPr>
                                <w:t>’</w:t>
                              </w:r>
                              <w:proofErr w:type="spellStart"/>
                              <w:r w:rsidRPr="002B1C5A">
                                <w:rPr>
                                  <w:rFonts w:ascii="Verdana" w:eastAsia="Times New Roman" w:hAnsi="Verdana" w:cs="Times New Roman"/>
                                  <w:color w:val="000000"/>
                                  <w:sz w:val="20"/>
                                  <w:szCs w:val="20"/>
                                  <w:lang w:eastAsia="tr-TR"/>
                                </w:rPr>
                                <w:t>nın</w:t>
                              </w:r>
                              <w:proofErr w:type="spellEnd"/>
                              <w:r w:rsidRPr="002B1C5A">
                                <w:rPr>
                                  <w:rFonts w:ascii="Verdana" w:eastAsia="Times New Roman" w:hAnsi="Verdana" w:cs="Times New Roman"/>
                                  <w:color w:val="000000"/>
                                  <w:sz w:val="20"/>
                                  <w:szCs w:val="20"/>
                                  <w:lang w:eastAsia="tr-TR"/>
                                </w:rPr>
                                <w:t> kurumu temsil ve ilzama yetkili memurları sıfatıyla beyan ve taahhüt ederiz.</w:t>
                              </w:r>
                            </w:p>
                            <w:p w:rsidR="002B1C5A" w:rsidRPr="002B1C5A" w:rsidRDefault="002B1C5A" w:rsidP="002B1C5A">
                              <w:pPr>
                                <w:spacing w:after="0" w:line="240" w:lineRule="atLeast"/>
                                <w:jc w:val="both"/>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 </w:t>
                              </w:r>
                            </w:p>
                            <w:p w:rsidR="002B1C5A" w:rsidRPr="002B1C5A" w:rsidRDefault="002B1C5A" w:rsidP="002B1C5A">
                              <w:pPr>
                                <w:spacing w:after="0" w:line="240" w:lineRule="atLeast"/>
                                <w:jc w:val="both"/>
                                <w:rPr>
                                  <w:rFonts w:ascii="Times New Roman" w:eastAsia="Times New Roman" w:hAnsi="Times New Roman" w:cs="Times New Roman"/>
                                  <w:color w:val="000000"/>
                                  <w:sz w:val="27"/>
                                  <w:szCs w:val="27"/>
                                  <w:lang w:eastAsia="tr-TR"/>
                                </w:rPr>
                              </w:pPr>
                              <w:r w:rsidRPr="002B1C5A">
                                <w:rPr>
                                  <w:rFonts w:ascii="Verdana" w:eastAsia="Times New Roman" w:hAnsi="Verdana" w:cs="Times New Roman"/>
                                  <w:color w:val="000000"/>
                                  <w:sz w:val="20"/>
                                  <w:szCs w:val="20"/>
                                  <w:lang w:eastAsia="tr-TR"/>
                                </w:rPr>
                                <w:t>Bu teminat mektubu kesin ve süresizdir.                                                                                                                             ”</w:t>
                              </w:r>
                            </w:p>
                          </w:tc>
                        </w:tr>
                      </w:tbl>
                      <w:p w:rsidR="002B1C5A" w:rsidRPr="002B1C5A" w:rsidRDefault="002B1C5A" w:rsidP="002B1C5A">
                        <w:pPr>
                          <w:spacing w:after="0" w:line="240" w:lineRule="auto"/>
                          <w:rPr>
                            <w:rFonts w:ascii="Verdana" w:eastAsia="Times New Roman" w:hAnsi="Verdana" w:cs="Times New Roman"/>
                            <w:color w:val="FFFFFF"/>
                            <w:sz w:val="18"/>
                            <w:szCs w:val="18"/>
                            <w:lang w:eastAsia="tr-TR"/>
                          </w:rPr>
                        </w:pPr>
                      </w:p>
                    </w:tc>
                  </w:tr>
                  <w:tr w:rsidR="002B1C5A" w:rsidRPr="002B1C5A">
                    <w:trPr>
                      <w:trHeight w:val="180"/>
                      <w:tblCellSpacing w:w="0" w:type="dxa"/>
                      <w:hidden/>
                    </w:trPr>
                    <w:tc>
                      <w:tcPr>
                        <w:tcW w:w="0" w:type="auto"/>
                        <w:shd w:val="clear" w:color="auto" w:fill="104E83"/>
                        <w:hideMark/>
                      </w:tcPr>
                      <w:p w:rsidR="002B1C5A" w:rsidRPr="002B1C5A" w:rsidRDefault="002B1C5A" w:rsidP="002B1C5A">
                        <w:pPr>
                          <w:spacing w:after="0" w:line="240" w:lineRule="auto"/>
                          <w:rPr>
                            <w:rFonts w:ascii="Verdana" w:eastAsia="Times New Roman" w:hAnsi="Verdana" w:cs="Times New Roman"/>
                            <w:vanish/>
                            <w:color w:val="FFFFFF"/>
                            <w:sz w:val="18"/>
                            <w:szCs w:val="18"/>
                            <w:lang w:eastAsia="tr-TR"/>
                          </w:rPr>
                        </w:pPr>
                        <w:r w:rsidRPr="002B1C5A">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2B1C5A">
                          <w:rPr>
                            <w:rFonts w:ascii="Verdana" w:eastAsia="Times New Roman" w:hAnsi="Verdana" w:cs="Times New Roman"/>
                            <w:vanish/>
                            <w:color w:val="FFFFFF"/>
                            <w:sz w:val="18"/>
                            <w:szCs w:val="18"/>
                            <w:lang w:eastAsia="tr-TR"/>
                          </w:rPr>
                          <w:t>  İlgili Mevzuatları Göster</w:t>
                        </w:r>
                      </w:p>
                    </w:tc>
                  </w:tr>
                  <w:tr w:rsidR="002B1C5A" w:rsidRPr="002B1C5A">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2B1C5A" w:rsidRPr="002B1C5A">
                          <w:tc>
                            <w:tcPr>
                              <w:tcW w:w="0" w:type="auto"/>
                              <w:vAlign w:val="center"/>
                              <w:hideMark/>
                            </w:tcPr>
                            <w:p w:rsidR="002B1C5A" w:rsidRPr="002B1C5A" w:rsidRDefault="002B1C5A" w:rsidP="002B1C5A">
                              <w:pPr>
                                <w:spacing w:after="0" w:line="240" w:lineRule="auto"/>
                                <w:rPr>
                                  <w:rFonts w:ascii="Times New Roman" w:eastAsia="Times New Roman" w:hAnsi="Times New Roman" w:cs="Times New Roman"/>
                                  <w:sz w:val="24"/>
                                  <w:szCs w:val="24"/>
                                  <w:lang w:eastAsia="tr-TR"/>
                                </w:rPr>
                              </w:pPr>
                            </w:p>
                          </w:tc>
                        </w:tr>
                      </w:tbl>
                      <w:p w:rsidR="002B1C5A" w:rsidRPr="002B1C5A" w:rsidRDefault="002B1C5A" w:rsidP="002B1C5A">
                        <w:pPr>
                          <w:spacing w:after="0" w:line="240" w:lineRule="auto"/>
                          <w:rPr>
                            <w:rFonts w:ascii="Verdana" w:eastAsia="Times New Roman" w:hAnsi="Verdana" w:cs="Times New Roman"/>
                            <w:vanish/>
                            <w:color w:val="7AA6D3"/>
                            <w:sz w:val="18"/>
                            <w:szCs w:val="18"/>
                            <w:lang w:eastAsia="tr-TR"/>
                          </w:rPr>
                        </w:pPr>
                      </w:p>
                    </w:tc>
                  </w:tr>
                  <w:tr w:rsidR="002B1C5A" w:rsidRPr="002B1C5A">
                    <w:trPr>
                      <w:trHeight w:val="180"/>
                      <w:tblCellSpacing w:w="0" w:type="dxa"/>
                      <w:hidden/>
                    </w:trPr>
                    <w:tc>
                      <w:tcPr>
                        <w:tcW w:w="0" w:type="auto"/>
                        <w:shd w:val="clear" w:color="auto" w:fill="104E83"/>
                        <w:hideMark/>
                      </w:tcPr>
                      <w:p w:rsidR="002B1C5A" w:rsidRPr="002B1C5A" w:rsidRDefault="002B1C5A" w:rsidP="002B1C5A">
                        <w:pPr>
                          <w:spacing w:after="0" w:line="240" w:lineRule="auto"/>
                          <w:rPr>
                            <w:rFonts w:ascii="Verdana" w:eastAsia="Times New Roman" w:hAnsi="Verdana" w:cs="Times New Roman"/>
                            <w:vanish/>
                            <w:color w:val="FFFFFF"/>
                            <w:sz w:val="18"/>
                            <w:szCs w:val="18"/>
                            <w:lang w:eastAsia="tr-TR"/>
                          </w:rPr>
                        </w:pPr>
                        <w:r w:rsidRPr="002B1C5A">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6" o:title=""/>
                            </v:shape>
                            <w:control r:id="rId8" w:name="DefaultOcxName1" w:shapeid="_x0000_i1037"/>
                          </w:object>
                        </w:r>
                        <w:r w:rsidRPr="002B1C5A">
                          <w:rPr>
                            <w:rFonts w:ascii="Verdana" w:eastAsia="Times New Roman" w:hAnsi="Verdana" w:cs="Times New Roman"/>
                            <w:vanish/>
                            <w:color w:val="FFFFFF"/>
                            <w:sz w:val="18"/>
                            <w:szCs w:val="18"/>
                            <w:lang w:eastAsia="tr-TR"/>
                          </w:rPr>
                          <w:t>Bu Mevzuatın Yürürlükten Kaldırdığı/Değiştirdiği Mevzuatları Göster</w:t>
                        </w:r>
                      </w:p>
                    </w:tc>
                  </w:tr>
                  <w:tr w:rsidR="002B1C5A" w:rsidRPr="002B1C5A">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2B1C5A" w:rsidRPr="002B1C5A">
                          <w:tc>
                            <w:tcPr>
                              <w:tcW w:w="0" w:type="auto"/>
                              <w:vAlign w:val="center"/>
                              <w:hideMark/>
                            </w:tcPr>
                            <w:p w:rsidR="002B1C5A" w:rsidRPr="002B1C5A" w:rsidRDefault="002B1C5A" w:rsidP="002B1C5A">
                              <w:pPr>
                                <w:spacing w:after="0" w:line="240" w:lineRule="auto"/>
                                <w:rPr>
                                  <w:rFonts w:ascii="Times New Roman" w:eastAsia="Times New Roman" w:hAnsi="Times New Roman" w:cs="Times New Roman"/>
                                  <w:sz w:val="24"/>
                                  <w:szCs w:val="24"/>
                                  <w:lang w:eastAsia="tr-TR"/>
                                </w:rPr>
                              </w:pPr>
                            </w:p>
                          </w:tc>
                        </w:tr>
                      </w:tbl>
                      <w:p w:rsidR="002B1C5A" w:rsidRPr="002B1C5A" w:rsidRDefault="002B1C5A" w:rsidP="002B1C5A">
                        <w:pPr>
                          <w:spacing w:after="0" w:line="150" w:lineRule="atLeast"/>
                          <w:rPr>
                            <w:rFonts w:ascii="Verdana" w:eastAsia="Times New Roman" w:hAnsi="Verdana" w:cs="Times New Roman"/>
                            <w:vanish/>
                            <w:color w:val="7AA6D3"/>
                            <w:sz w:val="18"/>
                            <w:szCs w:val="18"/>
                            <w:lang w:eastAsia="tr-TR"/>
                          </w:rPr>
                        </w:pPr>
                      </w:p>
                    </w:tc>
                  </w:tr>
                </w:tbl>
                <w:p w:rsidR="002B1C5A" w:rsidRPr="002B1C5A" w:rsidRDefault="002B1C5A" w:rsidP="002B1C5A">
                  <w:pPr>
                    <w:spacing w:after="0" w:line="240" w:lineRule="auto"/>
                    <w:rPr>
                      <w:rFonts w:ascii="Times New Roman" w:eastAsia="Times New Roman" w:hAnsi="Times New Roman" w:cs="Times New Roman"/>
                      <w:sz w:val="24"/>
                      <w:szCs w:val="24"/>
                      <w:lang w:eastAsia="tr-TR"/>
                    </w:rPr>
                  </w:pPr>
                </w:p>
              </w:tc>
            </w:tr>
          </w:tbl>
          <w:p w:rsidR="002B1C5A" w:rsidRPr="002B1C5A" w:rsidRDefault="002B1C5A" w:rsidP="002B1C5A">
            <w:pPr>
              <w:spacing w:after="0" w:line="240" w:lineRule="auto"/>
              <w:rPr>
                <w:rFonts w:ascii="Times New Roman" w:eastAsia="Times New Roman" w:hAnsi="Times New Roman" w:cs="Times New Roman"/>
                <w:sz w:val="24"/>
                <w:szCs w:val="24"/>
                <w:lang w:eastAsia="tr-TR"/>
              </w:rPr>
            </w:pPr>
          </w:p>
        </w:tc>
      </w:tr>
    </w:tbl>
    <w:p w:rsidR="002B1C5A" w:rsidRPr="002B1C5A" w:rsidRDefault="002B1C5A" w:rsidP="002B1C5A">
      <w:pPr>
        <w:spacing w:after="0" w:line="240" w:lineRule="auto"/>
        <w:rPr>
          <w:rFonts w:ascii="Times New Roman" w:eastAsia="Times New Roman" w:hAnsi="Times New Roman" w:cs="Times New Roman"/>
          <w:sz w:val="24"/>
          <w:szCs w:val="24"/>
          <w:lang w:eastAsia="tr-TR"/>
        </w:rPr>
      </w:pPr>
      <w:r w:rsidRPr="002B1C5A">
        <w:rPr>
          <w:rFonts w:ascii="Times New Roman" w:eastAsia="Times New Roman" w:hAnsi="Times New Roman" w:cs="Times New Roman"/>
          <w:sz w:val="24"/>
          <w:szCs w:val="24"/>
          <w:lang w:eastAsia="tr-TR"/>
        </w:rPr>
        <w:lastRenderedPageBreak/>
        <w:t xml:space="preserve">    </w:t>
      </w:r>
    </w:p>
    <w:p w:rsidR="002B1C5A" w:rsidRPr="002B1C5A" w:rsidRDefault="002B1C5A" w:rsidP="002B1C5A">
      <w:pPr>
        <w:spacing w:after="0" w:line="240" w:lineRule="auto"/>
        <w:rPr>
          <w:rFonts w:ascii="Times New Roman" w:eastAsia="Times New Roman" w:hAnsi="Times New Roman" w:cs="Times New Roman"/>
          <w:vanish/>
          <w:sz w:val="24"/>
          <w:szCs w:val="24"/>
          <w:lang w:eastAsia="tr-TR"/>
        </w:rPr>
      </w:pPr>
      <w:r w:rsidRPr="002B1C5A">
        <w:rPr>
          <w:rFonts w:ascii="Times New Roman" w:eastAsia="Times New Roman" w:hAnsi="Times New Roman" w:cs="Times New Roman"/>
          <w:vanish/>
          <w:sz w:val="24"/>
          <w:szCs w:val="24"/>
          <w:lang w:eastAsia="tr-TR"/>
        </w:rPr>
        <w:object w:dxaOrig="1440" w:dyaOrig="1440">
          <v:shape id="_x0000_i1036" type="#_x0000_t75" style="width:36pt;height:22.5pt" o:ole="">
            <v:imagedata r:id="rId9" o:title=""/>
          </v:shape>
          <w:control r:id="rId10" w:name="DefaultOcxName2" w:shapeid="_x0000_i1036"/>
        </w:object>
      </w:r>
      <w:r w:rsidRPr="002B1C5A">
        <w:rPr>
          <w:rFonts w:ascii="Times New Roman" w:eastAsia="Times New Roman" w:hAnsi="Times New Roman" w:cs="Times New Roman"/>
          <w:vanish/>
          <w:sz w:val="24"/>
          <w:szCs w:val="24"/>
          <w:lang w:eastAsia="tr-TR"/>
        </w:rPr>
        <w:object w:dxaOrig="1440" w:dyaOrig="1440">
          <v:shape id="_x0000_i1035" type="#_x0000_t75" style="width:49.5pt;height:18pt" o:ole="">
            <v:imagedata r:id="rId11" o:title=""/>
          </v:shape>
          <w:control r:id="rId12" w:name="DefaultOcxName3" w:shapeid="_x0000_i1035"/>
        </w:object>
      </w:r>
    </w:p>
    <w:p w:rsidR="00F137BE" w:rsidRDefault="002B1C5A" w:rsidP="002B1C5A">
      <w:r w:rsidRPr="002B1C5A">
        <w:rPr>
          <w:rFonts w:ascii="Times New Roman" w:eastAsia="Times New Roman" w:hAnsi="Times New Roman" w:cs="Times New Roman"/>
          <w:vanish/>
          <w:sz w:val="24"/>
          <w:szCs w:val="24"/>
          <w:lang w:eastAsia="tr-TR"/>
        </w:rPr>
        <w:pict/>
      </w:r>
    </w:p>
    <w:sectPr w:rsidR="00F13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8D"/>
    <w:rsid w:val="002B1C5A"/>
    <w:rsid w:val="004E3F8D"/>
    <w:rsid w:val="00A1226F"/>
    <w:rsid w:val="00F137BE"/>
    <w:rsid w:val="00F86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86260">
      <w:bodyDiv w:val="1"/>
      <w:marLeft w:val="0"/>
      <w:marRight w:val="0"/>
      <w:marTop w:val="0"/>
      <w:marBottom w:val="0"/>
      <w:divBdr>
        <w:top w:val="none" w:sz="0" w:space="0" w:color="auto"/>
        <w:left w:val="none" w:sz="0" w:space="0" w:color="auto"/>
        <w:bottom w:val="none" w:sz="0" w:space="0" w:color="auto"/>
        <w:right w:val="none" w:sz="0" w:space="0" w:color="auto"/>
      </w:divBdr>
      <w:divsChild>
        <w:div w:id="192999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12DD-2FA9-44C3-BDDF-25ED1900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4072</Words>
  <Characters>23214</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3</cp:revision>
  <dcterms:created xsi:type="dcterms:W3CDTF">2016-10-07T05:30:00Z</dcterms:created>
  <dcterms:modified xsi:type="dcterms:W3CDTF">2016-10-07T05:46:00Z</dcterms:modified>
</cp:coreProperties>
</file>