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3B451F" w:rsidRPr="003B451F" w:rsidTr="003B451F">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3B451F" w:rsidRPr="003B451F">
              <w:trPr>
                <w:tblCellSpacing w:w="0" w:type="dxa"/>
              </w:trPr>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3B451F" w:rsidRPr="003B451F">
                    <w:trPr>
                      <w:trHeight w:val="4995"/>
                      <w:tblCellSpacing w:w="0" w:type="dxa"/>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72"/>
                        </w:tblGrid>
                        <w:tr w:rsidR="003B451F" w:rsidRPr="003B451F">
                          <w:tc>
                            <w:tcPr>
                              <w:tcW w:w="0" w:type="auto"/>
                              <w:vAlign w:val="center"/>
                              <w:hideMark/>
                            </w:tcPr>
                            <w:p w:rsidR="003B451F" w:rsidRPr="003B451F" w:rsidRDefault="003B451F" w:rsidP="003B451F">
                              <w:pPr>
                                <w:spacing w:after="0" w:line="240" w:lineRule="auto"/>
                                <w:jc w:val="center"/>
                                <w:rPr>
                                  <w:rFonts w:ascii="Verdana" w:eastAsia="Times New Roman" w:hAnsi="Verdana" w:cs="Times New Roman"/>
                                  <w:b/>
                                  <w:bCs/>
                                  <w:color w:val="9CA4BE"/>
                                  <w:sz w:val="18"/>
                                  <w:szCs w:val="18"/>
                                  <w:lang w:eastAsia="tr-TR"/>
                                </w:rPr>
                              </w:pPr>
                              <w:r w:rsidRPr="003B451F">
                                <w:rPr>
                                  <w:rFonts w:ascii="Verdana" w:eastAsia="Times New Roman" w:hAnsi="Verdana" w:cs="Times New Roman"/>
                                  <w:b/>
                                  <w:bCs/>
                                  <w:color w:val="9CA4BE"/>
                                  <w:sz w:val="18"/>
                                  <w:szCs w:val="18"/>
                                  <w:lang w:eastAsia="tr-TR"/>
                                </w:rPr>
                                <w:t>TASARRUFLU YAZI (26.10.2017/28960530)</w:t>
                              </w:r>
                            </w:p>
                          </w:tc>
                        </w:tr>
                        <w:tr w:rsidR="003B451F" w:rsidRPr="003B451F">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B451F" w:rsidRPr="003B451F">
                                <w:trPr>
                                  <w:tblCellSpacing w:w="15" w:type="dxa"/>
                                </w:trPr>
                                <w:tc>
                                  <w:tcPr>
                                    <w:tcW w:w="0" w:type="auto"/>
                                    <w:vAlign w:val="center"/>
                                    <w:hideMark/>
                                  </w:tcPr>
                                  <w:p w:rsidR="003B451F" w:rsidRPr="003B451F" w:rsidRDefault="003B451F" w:rsidP="003B451F">
                                    <w:pPr>
                                      <w:spacing w:after="0" w:line="240" w:lineRule="auto"/>
                                      <w:jc w:val="center"/>
                                      <w:rPr>
                                        <w:rFonts w:ascii="Verdana" w:eastAsia="Times New Roman" w:hAnsi="Verdana" w:cs="Times New Roman"/>
                                        <w:b/>
                                        <w:bCs/>
                                        <w:color w:val="9CA4BE"/>
                                        <w:sz w:val="18"/>
                                        <w:szCs w:val="18"/>
                                        <w:lang w:eastAsia="tr-TR"/>
                                      </w:rPr>
                                    </w:pPr>
                                  </w:p>
                                </w:tc>
                              </w:tr>
                            </w:tbl>
                            <w:p w:rsidR="003B451F" w:rsidRPr="003B451F" w:rsidRDefault="003B451F" w:rsidP="003B451F">
                              <w:pPr>
                                <w:spacing w:after="0" w:line="240" w:lineRule="auto"/>
                                <w:rPr>
                                  <w:rFonts w:ascii="Times New Roman" w:eastAsia="Times New Roman" w:hAnsi="Times New Roman" w:cs="Times New Roman"/>
                                  <w:sz w:val="24"/>
                                  <w:szCs w:val="24"/>
                                  <w:lang w:eastAsia="tr-TR"/>
                                </w:rPr>
                              </w:pPr>
                            </w:p>
                          </w:tc>
                        </w:tr>
                        <w:tr w:rsidR="003B451F" w:rsidRPr="003B451F">
                          <w:tc>
                            <w:tcPr>
                              <w:tcW w:w="0" w:type="auto"/>
                              <w:tcMar>
                                <w:top w:w="300" w:type="dxa"/>
                                <w:left w:w="150" w:type="dxa"/>
                                <w:bottom w:w="0" w:type="dxa"/>
                                <w:right w:w="150" w:type="dxa"/>
                              </w:tcMar>
                              <w:vAlign w:val="center"/>
                            </w:tcPr>
                            <w:p w:rsidR="003B451F" w:rsidRPr="003B451F" w:rsidRDefault="003B451F" w:rsidP="003B451F">
                              <w:pPr>
                                <w:spacing w:before="100" w:beforeAutospacing="1" w:after="100" w:afterAutospacing="1" w:line="240" w:lineRule="auto"/>
                                <w:jc w:val="center"/>
                                <w:rPr>
                                  <w:rFonts w:ascii="Verdana" w:eastAsia="Times New Roman" w:hAnsi="Verdana" w:cs="Arial"/>
                                  <w:color w:val="000000"/>
                                  <w:sz w:val="20"/>
                                  <w:szCs w:val="20"/>
                                  <w:lang w:eastAsia="tr-TR"/>
                                </w:rPr>
                              </w:pPr>
                              <w:r w:rsidRPr="003B451F">
                                <w:rPr>
                                  <w:rFonts w:ascii="Verdana" w:eastAsia="Times New Roman" w:hAnsi="Verdana" w:cs="Arial"/>
                                  <w:b/>
                                  <w:bCs/>
                                  <w:color w:val="000000"/>
                                  <w:sz w:val="20"/>
                                  <w:szCs w:val="20"/>
                                  <w:lang w:eastAsia="tr-TR"/>
                                </w:rPr>
                                <w:t>T.C.</w:t>
                              </w:r>
                            </w:p>
                            <w:p w:rsidR="003B451F" w:rsidRPr="003B451F" w:rsidRDefault="003B451F" w:rsidP="003B451F">
                              <w:pPr>
                                <w:spacing w:before="100" w:beforeAutospacing="1" w:after="100" w:afterAutospacing="1" w:line="240" w:lineRule="auto"/>
                                <w:jc w:val="center"/>
                                <w:rPr>
                                  <w:rFonts w:ascii="Verdana" w:eastAsia="Times New Roman" w:hAnsi="Verdana" w:cs="Arial"/>
                                  <w:color w:val="000000"/>
                                  <w:sz w:val="20"/>
                                  <w:szCs w:val="20"/>
                                  <w:lang w:eastAsia="tr-TR"/>
                                </w:rPr>
                              </w:pPr>
                              <w:r w:rsidRPr="003B451F">
                                <w:rPr>
                                  <w:rFonts w:ascii="Verdana" w:eastAsia="Times New Roman" w:hAnsi="Verdana" w:cs="Arial"/>
                                  <w:b/>
                                  <w:bCs/>
                                  <w:color w:val="000000"/>
                                  <w:sz w:val="20"/>
                                  <w:szCs w:val="20"/>
                                  <w:lang w:eastAsia="tr-TR"/>
                                </w:rPr>
                                <w:t>GÜMRÜK VE TİCARET BAKANLIĞI</w:t>
                              </w:r>
                            </w:p>
                            <w:p w:rsidR="003B451F" w:rsidRPr="003B451F" w:rsidRDefault="003B451F" w:rsidP="003B451F">
                              <w:pPr>
                                <w:spacing w:before="100" w:beforeAutospacing="1" w:after="100" w:afterAutospacing="1" w:line="240" w:lineRule="auto"/>
                                <w:jc w:val="center"/>
                                <w:rPr>
                                  <w:rFonts w:ascii="Verdana" w:eastAsia="Times New Roman" w:hAnsi="Verdana" w:cs="Arial"/>
                                  <w:color w:val="000000"/>
                                  <w:sz w:val="20"/>
                                  <w:szCs w:val="20"/>
                                  <w:lang w:eastAsia="tr-TR"/>
                                </w:rPr>
                              </w:pPr>
                              <w:r w:rsidRPr="003B451F">
                                <w:rPr>
                                  <w:rFonts w:ascii="Verdana" w:eastAsia="Times New Roman" w:hAnsi="Verdana" w:cs="Arial"/>
                                  <w:b/>
                                  <w:bCs/>
                                  <w:color w:val="000000"/>
                                  <w:sz w:val="20"/>
                                  <w:szCs w:val="20"/>
                                  <w:lang w:eastAsia="tr-TR"/>
                                </w:rPr>
                                <w:t>Gümrükler Genel Müdürlüğü</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proofErr w:type="gramStart"/>
                              <w:r w:rsidRPr="003B451F">
                                <w:rPr>
                                  <w:rFonts w:ascii="Verdana" w:eastAsia="Times New Roman" w:hAnsi="Verdana" w:cs="Arial"/>
                                  <w:b/>
                                  <w:bCs/>
                                  <w:color w:val="000000"/>
                                  <w:sz w:val="20"/>
                                  <w:szCs w:val="20"/>
                                  <w:lang w:eastAsia="tr-TR"/>
                                </w:rPr>
                                <w:t>Sayı     :</w:t>
                              </w:r>
                              <w:r w:rsidRPr="003B451F">
                                <w:rPr>
                                  <w:rFonts w:ascii="Verdana" w:eastAsia="Times New Roman" w:hAnsi="Verdana" w:cs="Arial"/>
                                  <w:color w:val="000000"/>
                                  <w:sz w:val="20"/>
                                  <w:szCs w:val="20"/>
                                  <w:lang w:eastAsia="tr-TR"/>
                                </w:rPr>
                                <w:t>41208501</w:t>
                              </w:r>
                              <w:proofErr w:type="gramEnd"/>
                              <w:r w:rsidRPr="003B451F">
                                <w:rPr>
                                  <w:rFonts w:ascii="Verdana" w:eastAsia="Times New Roman" w:hAnsi="Verdana" w:cs="Arial"/>
                                  <w:color w:val="000000"/>
                                  <w:sz w:val="20"/>
                                  <w:szCs w:val="20"/>
                                  <w:lang w:eastAsia="tr-TR"/>
                                </w:rPr>
                                <w:t>-132.08</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proofErr w:type="gramStart"/>
                              <w:r w:rsidRPr="003B451F">
                                <w:rPr>
                                  <w:rFonts w:ascii="Verdana" w:eastAsia="Times New Roman" w:hAnsi="Verdana" w:cs="Arial"/>
                                  <w:b/>
                                  <w:bCs/>
                                  <w:color w:val="000000"/>
                                  <w:sz w:val="20"/>
                                  <w:szCs w:val="20"/>
                                  <w:lang w:eastAsia="tr-TR"/>
                                </w:rPr>
                                <w:t>Konu   :</w:t>
                              </w:r>
                              <w:bookmarkStart w:id="0" w:name="_GoBack"/>
                              <w:r w:rsidRPr="003B451F">
                                <w:rPr>
                                  <w:rFonts w:ascii="Verdana" w:eastAsia="Times New Roman" w:hAnsi="Verdana" w:cs="Arial"/>
                                  <w:color w:val="000000"/>
                                  <w:sz w:val="20"/>
                                  <w:szCs w:val="20"/>
                                  <w:lang w:eastAsia="tr-TR"/>
                                </w:rPr>
                                <w:t>İkincil</w:t>
                              </w:r>
                              <w:proofErr w:type="gramEnd"/>
                              <w:r w:rsidRPr="003B451F">
                                <w:rPr>
                                  <w:rFonts w:ascii="Verdana" w:eastAsia="Times New Roman" w:hAnsi="Verdana" w:cs="Arial"/>
                                  <w:color w:val="000000"/>
                                  <w:sz w:val="20"/>
                                  <w:szCs w:val="20"/>
                                  <w:lang w:eastAsia="tr-TR"/>
                                </w:rPr>
                                <w:t xml:space="preserve"> İşlem Görmüş Ürünlerde</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color w:val="000000"/>
                                  <w:sz w:val="20"/>
                                  <w:szCs w:val="20"/>
                                  <w:lang w:eastAsia="tr-TR"/>
                                </w:rPr>
                                <w:t> Kayıt Belgesi</w:t>
                              </w:r>
                            </w:p>
                            <w:bookmarkEnd w:id="0"/>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b/>
                                  <w:bCs/>
                                  <w:color w:val="000000"/>
                                  <w:sz w:val="20"/>
                                  <w:szCs w:val="20"/>
                                  <w:lang w:eastAsia="tr-TR"/>
                                </w:rPr>
                                <w:t> </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b/>
                                  <w:bCs/>
                                  <w:color w:val="000000"/>
                                  <w:sz w:val="20"/>
                                  <w:szCs w:val="20"/>
                                  <w:lang w:eastAsia="tr-TR"/>
                                </w:rPr>
                                <w:t> </w:t>
                              </w:r>
                            </w:p>
                            <w:p w:rsidR="003B451F" w:rsidRPr="003B451F" w:rsidRDefault="003B451F" w:rsidP="003B451F">
                              <w:pPr>
                                <w:spacing w:before="100" w:beforeAutospacing="1" w:after="100" w:afterAutospacing="1" w:line="240" w:lineRule="auto"/>
                                <w:jc w:val="center"/>
                                <w:rPr>
                                  <w:rFonts w:ascii="Verdana" w:eastAsia="Times New Roman" w:hAnsi="Verdana" w:cs="Arial"/>
                                  <w:color w:val="000000"/>
                                  <w:sz w:val="20"/>
                                  <w:szCs w:val="20"/>
                                  <w:lang w:eastAsia="tr-TR"/>
                                </w:rPr>
                              </w:pPr>
                              <w:r w:rsidRPr="003B451F">
                                <w:rPr>
                                  <w:rFonts w:ascii="Verdana" w:eastAsia="Times New Roman" w:hAnsi="Verdana" w:cs="Arial"/>
                                  <w:b/>
                                  <w:bCs/>
                                  <w:color w:val="000000"/>
                                  <w:sz w:val="20"/>
                                  <w:szCs w:val="20"/>
                                  <w:lang w:eastAsia="tr-TR"/>
                                </w:rPr>
                                <w:t xml:space="preserve">26.10.2017 / </w:t>
                              </w:r>
                              <w:proofErr w:type="gramStart"/>
                              <w:r w:rsidRPr="003B451F">
                                <w:rPr>
                                  <w:rFonts w:ascii="Verdana" w:eastAsia="Times New Roman" w:hAnsi="Verdana" w:cs="Arial"/>
                                  <w:b/>
                                  <w:bCs/>
                                  <w:color w:val="000000"/>
                                  <w:sz w:val="20"/>
                                  <w:szCs w:val="20"/>
                                  <w:lang w:eastAsia="tr-TR"/>
                                </w:rPr>
                                <w:t>28960530</w:t>
                              </w:r>
                              <w:proofErr w:type="gramEnd"/>
                            </w:p>
                            <w:p w:rsidR="003B451F" w:rsidRPr="003B451F" w:rsidRDefault="003B451F" w:rsidP="003B451F">
                              <w:pPr>
                                <w:spacing w:before="100" w:beforeAutospacing="1" w:after="100" w:afterAutospacing="1" w:line="240" w:lineRule="auto"/>
                                <w:jc w:val="center"/>
                                <w:rPr>
                                  <w:rFonts w:ascii="Verdana" w:eastAsia="Times New Roman" w:hAnsi="Verdana" w:cs="Arial"/>
                                  <w:color w:val="000000"/>
                                  <w:sz w:val="20"/>
                                  <w:szCs w:val="20"/>
                                  <w:lang w:eastAsia="tr-TR"/>
                                </w:rPr>
                              </w:pPr>
                              <w:r w:rsidRPr="003B451F">
                                <w:rPr>
                                  <w:rFonts w:ascii="Verdana" w:eastAsia="Times New Roman" w:hAnsi="Verdana" w:cs="Arial"/>
                                  <w:b/>
                                  <w:bCs/>
                                  <w:color w:val="000000"/>
                                  <w:sz w:val="20"/>
                                  <w:szCs w:val="20"/>
                                  <w:lang w:eastAsia="tr-TR"/>
                                </w:rPr>
                                <w:t>DAĞITIM YERLERİNE</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proofErr w:type="gramStart"/>
                              <w:r w:rsidRPr="003B451F">
                                <w:rPr>
                                  <w:rFonts w:ascii="Verdana" w:eastAsia="Times New Roman" w:hAnsi="Verdana" w:cs="Arial"/>
                                  <w:color w:val="000000"/>
                                  <w:sz w:val="20"/>
                                  <w:szCs w:val="20"/>
                                  <w:lang w:eastAsia="tr-TR"/>
                                </w:rPr>
                                <w:t>Dahilde</w:t>
                              </w:r>
                              <w:proofErr w:type="gramEnd"/>
                              <w:r w:rsidRPr="003B451F">
                                <w:rPr>
                                  <w:rFonts w:ascii="Verdana" w:eastAsia="Times New Roman" w:hAnsi="Verdana" w:cs="Arial"/>
                                  <w:color w:val="000000"/>
                                  <w:sz w:val="20"/>
                                  <w:szCs w:val="20"/>
                                  <w:lang w:eastAsia="tr-TR"/>
                                </w:rPr>
                                <w:t xml:space="preserve"> işleme rejimi kapsamında elde edilen ikincil işlem görmüş ürünlerin serbest dolaşıma girişinde 31.12.2009 tarihli ve 27449 (2 </w:t>
                              </w:r>
                              <w:proofErr w:type="spellStart"/>
                              <w:r w:rsidRPr="003B451F">
                                <w:rPr>
                                  <w:rFonts w:ascii="Verdana" w:eastAsia="Times New Roman" w:hAnsi="Verdana" w:cs="Arial"/>
                                  <w:color w:val="000000"/>
                                  <w:sz w:val="20"/>
                                  <w:szCs w:val="20"/>
                                  <w:lang w:eastAsia="tr-TR"/>
                                </w:rPr>
                                <w:t>nci</w:t>
                              </w:r>
                              <w:proofErr w:type="spellEnd"/>
                              <w:r w:rsidRPr="003B451F">
                                <w:rPr>
                                  <w:rFonts w:ascii="Verdana" w:eastAsia="Times New Roman" w:hAnsi="Verdana" w:cs="Arial"/>
                                  <w:color w:val="000000"/>
                                  <w:sz w:val="20"/>
                                  <w:szCs w:val="20"/>
                                  <w:lang w:eastAsia="tr-TR"/>
                                </w:rPr>
                                <w:t xml:space="preserve"> Mükerrer) sayılı Resmi </w:t>
                              </w:r>
                              <w:proofErr w:type="spellStart"/>
                              <w:r w:rsidRPr="003B451F">
                                <w:rPr>
                                  <w:rFonts w:ascii="Verdana" w:eastAsia="Times New Roman" w:hAnsi="Verdana" w:cs="Arial"/>
                                  <w:color w:val="000000"/>
                                  <w:sz w:val="20"/>
                                  <w:szCs w:val="20"/>
                                  <w:lang w:eastAsia="tr-TR"/>
                                </w:rPr>
                                <w:t>Gazete'de</w:t>
                              </w:r>
                              <w:proofErr w:type="spellEnd"/>
                              <w:r w:rsidRPr="003B451F">
                                <w:rPr>
                                  <w:rFonts w:ascii="Verdana" w:eastAsia="Times New Roman" w:hAnsi="Verdana" w:cs="Arial"/>
                                  <w:color w:val="000000"/>
                                  <w:sz w:val="20"/>
                                  <w:szCs w:val="20"/>
                                  <w:lang w:eastAsia="tr-TR"/>
                                </w:rPr>
                                <w:t xml:space="preserve"> yayımlanan "</w:t>
                              </w:r>
                              <w:hyperlink r:id="rId4" w:history="1">
                                <w:r w:rsidRPr="003B451F">
                                  <w:rPr>
                                    <w:rFonts w:ascii="Verdana" w:eastAsia="Times New Roman" w:hAnsi="Verdana" w:cs="Arial"/>
                                    <w:b/>
                                    <w:bCs/>
                                    <w:color w:val="104E83"/>
                                    <w:sz w:val="20"/>
                                    <w:szCs w:val="20"/>
                                    <w:lang w:eastAsia="tr-TR"/>
                                  </w:rPr>
                                  <w:t>2010/1</w:t>
                                </w:r>
                              </w:hyperlink>
                              <w:r w:rsidRPr="003B451F">
                                <w:rPr>
                                  <w:rFonts w:ascii="Verdana" w:eastAsia="Times New Roman" w:hAnsi="Verdana" w:cs="Arial"/>
                                  <w:color w:val="000000"/>
                                  <w:sz w:val="20"/>
                                  <w:szCs w:val="20"/>
                                  <w:lang w:eastAsia="tr-TR"/>
                                </w:rPr>
                                <w:t xml:space="preserve"> sayılı İthalatta Gözetim Uygulamasına İlişkin Tebliğ" uyarınca düzenlenecek kayıt belgesinin gümrük idarelerince aranması gerektiği hususuna ilişkin Ekonomi Bakanlığından alınan 18.10.2017 tarihli ve 112034 sayılı yazı ilişikte gönderilmektedir.</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color w:val="000000"/>
                                  <w:sz w:val="20"/>
                                  <w:szCs w:val="20"/>
                                  <w:lang w:eastAsia="tr-TR"/>
                                </w:rPr>
                                <w:t>Bilgi ve buna göre gereğini rica ederim.</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p>
                            <w:p w:rsidR="003B451F" w:rsidRPr="003B451F" w:rsidRDefault="003B451F" w:rsidP="003B451F">
                              <w:pPr>
                                <w:spacing w:before="100" w:beforeAutospacing="1" w:after="100" w:afterAutospacing="1" w:line="240" w:lineRule="auto"/>
                                <w:jc w:val="right"/>
                                <w:rPr>
                                  <w:rFonts w:ascii="Verdana" w:eastAsia="Times New Roman" w:hAnsi="Verdana" w:cs="Arial"/>
                                  <w:color w:val="000000"/>
                                  <w:sz w:val="20"/>
                                  <w:szCs w:val="20"/>
                                  <w:lang w:eastAsia="tr-TR"/>
                                </w:rPr>
                              </w:pPr>
                              <w:r w:rsidRPr="003B451F">
                                <w:rPr>
                                  <w:rFonts w:ascii="Verdana" w:eastAsia="Times New Roman" w:hAnsi="Verdana" w:cs="Arial"/>
                                  <w:color w:val="000000"/>
                                  <w:sz w:val="20"/>
                                  <w:szCs w:val="20"/>
                                  <w:lang w:eastAsia="tr-TR"/>
                                </w:rPr>
                                <w:t>Mustafa GÜMÜŞ</w:t>
                              </w:r>
                            </w:p>
                            <w:p w:rsidR="003B451F" w:rsidRPr="003B451F" w:rsidRDefault="003B451F" w:rsidP="003B451F">
                              <w:pPr>
                                <w:spacing w:before="100" w:beforeAutospacing="1" w:after="100" w:afterAutospacing="1" w:line="240" w:lineRule="auto"/>
                                <w:jc w:val="right"/>
                                <w:rPr>
                                  <w:rFonts w:ascii="Verdana" w:eastAsia="Times New Roman" w:hAnsi="Verdana" w:cs="Arial"/>
                                  <w:color w:val="000000"/>
                                  <w:sz w:val="20"/>
                                  <w:szCs w:val="20"/>
                                  <w:lang w:eastAsia="tr-TR"/>
                                </w:rPr>
                              </w:pPr>
                              <w:r w:rsidRPr="003B451F">
                                <w:rPr>
                                  <w:rFonts w:ascii="Verdana" w:eastAsia="Times New Roman" w:hAnsi="Verdana" w:cs="Arial"/>
                                  <w:color w:val="000000"/>
                                  <w:sz w:val="20"/>
                                  <w:szCs w:val="20"/>
                                  <w:lang w:eastAsia="tr-TR"/>
                                </w:rPr>
                                <w:t>Bakan a.</w:t>
                              </w:r>
                            </w:p>
                            <w:p w:rsidR="003B451F" w:rsidRPr="003B451F" w:rsidRDefault="003B451F" w:rsidP="003B451F">
                              <w:pPr>
                                <w:spacing w:before="100" w:beforeAutospacing="1" w:after="100" w:afterAutospacing="1" w:line="240" w:lineRule="auto"/>
                                <w:jc w:val="right"/>
                                <w:rPr>
                                  <w:rFonts w:ascii="Verdana" w:eastAsia="Times New Roman" w:hAnsi="Verdana" w:cs="Arial"/>
                                  <w:color w:val="000000"/>
                                  <w:sz w:val="20"/>
                                  <w:szCs w:val="20"/>
                                  <w:lang w:eastAsia="tr-TR"/>
                                </w:rPr>
                              </w:pPr>
                              <w:r w:rsidRPr="003B451F">
                                <w:rPr>
                                  <w:rFonts w:ascii="Verdana" w:eastAsia="Times New Roman" w:hAnsi="Verdana" w:cs="Arial"/>
                                  <w:color w:val="000000"/>
                                  <w:sz w:val="20"/>
                                  <w:szCs w:val="20"/>
                                  <w:lang w:eastAsia="tr-TR"/>
                                </w:rPr>
                                <w:t>Genel Müdür V.</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b/>
                                  <w:bCs/>
                                  <w:color w:val="000000"/>
                                  <w:sz w:val="20"/>
                                  <w:szCs w:val="20"/>
                                  <w:lang w:eastAsia="tr-TR"/>
                                </w:rPr>
                                <w:t> </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b/>
                                  <w:bCs/>
                                  <w:color w:val="000000"/>
                                  <w:sz w:val="20"/>
                                  <w:szCs w:val="20"/>
                                  <w:lang w:eastAsia="tr-TR"/>
                                </w:rPr>
                                <w:t> </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b/>
                                  <w:bCs/>
                                  <w:color w:val="000000"/>
                                  <w:sz w:val="20"/>
                                  <w:szCs w:val="20"/>
                                  <w:lang w:eastAsia="tr-TR"/>
                                </w:rPr>
                                <w:t>EKLER</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color w:val="000000"/>
                                  <w:sz w:val="20"/>
                                  <w:szCs w:val="20"/>
                                  <w:lang w:eastAsia="tr-TR"/>
                                </w:rPr>
                                <w:t>1 adet yazı</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b/>
                                  <w:bCs/>
                                  <w:color w:val="000000"/>
                                  <w:sz w:val="20"/>
                                  <w:szCs w:val="20"/>
                                  <w:lang w:eastAsia="tr-TR"/>
                                </w:rPr>
                                <w:t> </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b/>
                                  <w:bCs/>
                                  <w:color w:val="000000"/>
                                  <w:sz w:val="20"/>
                                  <w:szCs w:val="20"/>
                                  <w:lang w:eastAsia="tr-TR"/>
                                </w:rPr>
                                <w:t> </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b/>
                                  <w:bCs/>
                                  <w:color w:val="000000"/>
                                  <w:sz w:val="20"/>
                                  <w:szCs w:val="20"/>
                                  <w:lang w:eastAsia="tr-TR"/>
                                </w:rPr>
                                <w:t> </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b/>
                                  <w:bCs/>
                                  <w:color w:val="000000"/>
                                  <w:sz w:val="20"/>
                                  <w:szCs w:val="20"/>
                                  <w:lang w:eastAsia="tr-TR"/>
                                </w:rPr>
                                <w:t>DAĞITIM</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color w:val="000000"/>
                                  <w:sz w:val="20"/>
                                  <w:szCs w:val="20"/>
                                  <w:lang w:eastAsia="tr-TR"/>
                                </w:rPr>
                                <w:t>Tüm Gümrük ve Ticaret Bölge Müdürlükleri</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color w:val="000000"/>
                                  <w:sz w:val="20"/>
                                  <w:szCs w:val="20"/>
                                  <w:lang w:eastAsia="tr-TR"/>
                                </w:rPr>
                                <w:t> </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color w:val="000000"/>
                                  <w:sz w:val="20"/>
                                  <w:szCs w:val="20"/>
                                  <w:lang w:eastAsia="tr-TR"/>
                                </w:rPr>
                                <w:t> </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color w:val="000000"/>
                                  <w:sz w:val="20"/>
                                  <w:szCs w:val="20"/>
                                  <w:lang w:eastAsia="tr-TR"/>
                                </w:rPr>
                                <w:t> </w:t>
                              </w:r>
                            </w:p>
                            <w:p w:rsidR="003B451F" w:rsidRPr="003B451F" w:rsidRDefault="003B451F" w:rsidP="003B451F">
                              <w:pPr>
                                <w:spacing w:before="100" w:beforeAutospacing="1" w:after="100" w:afterAutospacing="1" w:line="240" w:lineRule="auto"/>
                                <w:jc w:val="center"/>
                                <w:rPr>
                                  <w:rFonts w:ascii="Verdana" w:eastAsia="Times New Roman" w:hAnsi="Verdana" w:cs="Arial"/>
                                  <w:color w:val="000000"/>
                                  <w:sz w:val="20"/>
                                  <w:szCs w:val="20"/>
                                  <w:lang w:eastAsia="tr-TR"/>
                                </w:rPr>
                              </w:pPr>
                              <w:r w:rsidRPr="003B451F">
                                <w:rPr>
                                  <w:rFonts w:ascii="Verdana" w:eastAsia="Times New Roman" w:hAnsi="Verdana" w:cs="Arial"/>
                                  <w:b/>
                                  <w:bCs/>
                                  <w:color w:val="000000"/>
                                  <w:sz w:val="20"/>
                                  <w:szCs w:val="20"/>
                                  <w:lang w:eastAsia="tr-TR"/>
                                </w:rPr>
                                <w:t>T.C.</w:t>
                              </w:r>
                            </w:p>
                            <w:p w:rsidR="003B451F" w:rsidRPr="003B451F" w:rsidRDefault="003B451F" w:rsidP="003B451F">
                              <w:pPr>
                                <w:spacing w:before="100" w:beforeAutospacing="1" w:after="100" w:afterAutospacing="1" w:line="240" w:lineRule="auto"/>
                                <w:jc w:val="center"/>
                                <w:rPr>
                                  <w:rFonts w:ascii="Verdana" w:eastAsia="Times New Roman" w:hAnsi="Verdana" w:cs="Arial"/>
                                  <w:color w:val="000000"/>
                                  <w:sz w:val="20"/>
                                  <w:szCs w:val="20"/>
                                  <w:lang w:eastAsia="tr-TR"/>
                                </w:rPr>
                              </w:pPr>
                              <w:r w:rsidRPr="003B451F">
                                <w:rPr>
                                  <w:rFonts w:ascii="Verdana" w:eastAsia="Times New Roman" w:hAnsi="Verdana" w:cs="Arial"/>
                                  <w:b/>
                                  <w:bCs/>
                                  <w:color w:val="000000"/>
                                  <w:sz w:val="20"/>
                                  <w:szCs w:val="20"/>
                                  <w:lang w:eastAsia="tr-TR"/>
                                </w:rPr>
                                <w:t>EKONOMİ BAKANLIĞI</w:t>
                              </w:r>
                            </w:p>
                            <w:p w:rsidR="003B451F" w:rsidRPr="003B451F" w:rsidRDefault="003B451F" w:rsidP="003B451F">
                              <w:pPr>
                                <w:spacing w:before="100" w:beforeAutospacing="1" w:after="100" w:afterAutospacing="1" w:line="240" w:lineRule="auto"/>
                                <w:jc w:val="center"/>
                                <w:rPr>
                                  <w:rFonts w:ascii="Verdana" w:eastAsia="Times New Roman" w:hAnsi="Verdana" w:cs="Arial"/>
                                  <w:color w:val="000000"/>
                                  <w:sz w:val="20"/>
                                  <w:szCs w:val="20"/>
                                  <w:lang w:eastAsia="tr-TR"/>
                                </w:rPr>
                              </w:pPr>
                              <w:r w:rsidRPr="003B451F">
                                <w:rPr>
                                  <w:rFonts w:ascii="Verdana" w:eastAsia="Times New Roman" w:hAnsi="Verdana" w:cs="Arial"/>
                                  <w:b/>
                                  <w:bCs/>
                                  <w:color w:val="000000"/>
                                  <w:sz w:val="20"/>
                                  <w:szCs w:val="20"/>
                                  <w:lang w:eastAsia="tr-TR"/>
                                </w:rPr>
                                <w:t>İthalat Genel Müdürlüğü</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proofErr w:type="gramStart"/>
                              <w:r w:rsidRPr="003B451F">
                                <w:rPr>
                                  <w:rFonts w:ascii="Verdana" w:eastAsia="Times New Roman" w:hAnsi="Verdana" w:cs="Arial"/>
                                  <w:b/>
                                  <w:bCs/>
                                  <w:color w:val="000000"/>
                                  <w:sz w:val="20"/>
                                  <w:szCs w:val="20"/>
                                  <w:lang w:eastAsia="tr-TR"/>
                                </w:rPr>
                                <w:t>Sayı     :</w:t>
                              </w:r>
                              <w:r w:rsidRPr="003B451F">
                                <w:rPr>
                                  <w:rFonts w:ascii="Verdana" w:eastAsia="Times New Roman" w:hAnsi="Verdana" w:cs="Arial"/>
                                  <w:color w:val="000000"/>
                                  <w:sz w:val="20"/>
                                  <w:szCs w:val="20"/>
                                  <w:lang w:eastAsia="tr-TR"/>
                                </w:rPr>
                                <w:t>98183563</w:t>
                              </w:r>
                              <w:proofErr w:type="gramEnd"/>
                              <w:r w:rsidRPr="003B451F">
                                <w:rPr>
                                  <w:rFonts w:ascii="Verdana" w:eastAsia="Times New Roman" w:hAnsi="Verdana" w:cs="Arial"/>
                                  <w:color w:val="000000"/>
                                  <w:sz w:val="20"/>
                                  <w:szCs w:val="20"/>
                                  <w:lang w:eastAsia="tr-TR"/>
                                </w:rPr>
                                <w:t xml:space="preserve"> - 105.01 - E 112034                                                                               18.10.2017</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proofErr w:type="gramStart"/>
                              <w:r w:rsidRPr="003B451F">
                                <w:rPr>
                                  <w:rFonts w:ascii="Verdana" w:eastAsia="Times New Roman" w:hAnsi="Verdana" w:cs="Arial"/>
                                  <w:b/>
                                  <w:bCs/>
                                  <w:color w:val="000000"/>
                                  <w:sz w:val="20"/>
                                  <w:szCs w:val="20"/>
                                  <w:lang w:eastAsia="tr-TR"/>
                                </w:rPr>
                                <w:t>Konu   :</w:t>
                              </w:r>
                              <w:r w:rsidRPr="003B451F">
                                <w:rPr>
                                  <w:rFonts w:ascii="Verdana" w:eastAsia="Times New Roman" w:hAnsi="Verdana" w:cs="Arial"/>
                                  <w:color w:val="000000"/>
                                  <w:sz w:val="20"/>
                                  <w:szCs w:val="20"/>
                                  <w:lang w:eastAsia="tr-TR"/>
                                </w:rPr>
                                <w:t>ikincil</w:t>
                              </w:r>
                              <w:proofErr w:type="gramEnd"/>
                              <w:r w:rsidRPr="003B451F">
                                <w:rPr>
                                  <w:rFonts w:ascii="Verdana" w:eastAsia="Times New Roman" w:hAnsi="Verdana" w:cs="Arial"/>
                                  <w:color w:val="000000"/>
                                  <w:sz w:val="20"/>
                                  <w:szCs w:val="20"/>
                                  <w:lang w:eastAsia="tr-TR"/>
                                </w:rPr>
                                <w:t xml:space="preserve"> İşlem Görmüş Ürünlerin</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color w:val="000000"/>
                                  <w:sz w:val="20"/>
                                  <w:szCs w:val="20"/>
                                  <w:lang w:eastAsia="tr-TR"/>
                                </w:rPr>
                                <w:t>İthalatında Kayda Alma Uygulamaları</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color w:val="000000"/>
                                  <w:sz w:val="20"/>
                                  <w:szCs w:val="20"/>
                                  <w:lang w:eastAsia="tr-TR"/>
                                </w:rPr>
                                <w:t> </w:t>
                              </w:r>
                            </w:p>
                            <w:p w:rsidR="003B451F" w:rsidRPr="003B451F" w:rsidRDefault="003B451F" w:rsidP="003B451F">
                              <w:pPr>
                                <w:spacing w:before="100" w:beforeAutospacing="1" w:after="100" w:afterAutospacing="1" w:line="240" w:lineRule="auto"/>
                                <w:jc w:val="center"/>
                                <w:rPr>
                                  <w:rFonts w:ascii="Verdana" w:eastAsia="Times New Roman" w:hAnsi="Verdana" w:cs="Arial"/>
                                  <w:color w:val="000000"/>
                                  <w:sz w:val="20"/>
                                  <w:szCs w:val="20"/>
                                  <w:lang w:eastAsia="tr-TR"/>
                                </w:rPr>
                              </w:pPr>
                              <w:r w:rsidRPr="003B451F">
                                <w:rPr>
                                  <w:rFonts w:ascii="Verdana" w:eastAsia="Times New Roman" w:hAnsi="Verdana" w:cs="Arial"/>
                                  <w:b/>
                                  <w:bCs/>
                                  <w:color w:val="000000"/>
                                  <w:sz w:val="20"/>
                                  <w:szCs w:val="20"/>
                                  <w:lang w:eastAsia="tr-TR"/>
                                </w:rPr>
                                <w:t>GÜMRÜK VE TİCARET BAKANLIĞINA</w:t>
                              </w:r>
                              <w:r w:rsidRPr="003B451F">
                                <w:rPr>
                                  <w:rFonts w:ascii="Verdana" w:eastAsia="Times New Roman" w:hAnsi="Verdana" w:cs="Arial"/>
                                  <w:b/>
                                  <w:bCs/>
                                  <w:color w:val="000000"/>
                                  <w:sz w:val="20"/>
                                  <w:szCs w:val="20"/>
                                  <w:lang w:eastAsia="tr-TR"/>
                                </w:rPr>
                                <w:br/>
                                <w:t>(Gümrükler Genel Müdürlüğü)</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proofErr w:type="gramStart"/>
                              <w:r w:rsidRPr="003B451F">
                                <w:rPr>
                                  <w:rFonts w:ascii="Verdana" w:eastAsia="Times New Roman" w:hAnsi="Verdana" w:cs="Arial"/>
                                  <w:b/>
                                  <w:bCs/>
                                  <w:color w:val="000000"/>
                                  <w:sz w:val="20"/>
                                  <w:szCs w:val="20"/>
                                  <w:lang w:eastAsia="tr-TR"/>
                                </w:rPr>
                                <w:t>İlgi      :</w:t>
                              </w:r>
                              <w:r w:rsidRPr="003B451F">
                                <w:rPr>
                                  <w:rFonts w:ascii="Verdana" w:eastAsia="Times New Roman" w:hAnsi="Verdana" w:cs="Arial"/>
                                  <w:color w:val="000000"/>
                                  <w:sz w:val="20"/>
                                  <w:szCs w:val="20"/>
                                  <w:lang w:eastAsia="tr-TR"/>
                                </w:rPr>
                                <w:t>24</w:t>
                              </w:r>
                              <w:proofErr w:type="gramEnd"/>
                              <w:r w:rsidRPr="003B451F">
                                <w:rPr>
                                  <w:rFonts w:ascii="Verdana" w:eastAsia="Times New Roman" w:hAnsi="Verdana" w:cs="Arial"/>
                                  <w:color w:val="000000"/>
                                  <w:sz w:val="20"/>
                                  <w:szCs w:val="20"/>
                                  <w:lang w:eastAsia="tr-TR"/>
                                </w:rPr>
                                <w:t>.08.2017 tarihli ve 41208501-132.08-E-27566868 sayılı yazınız.</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proofErr w:type="gramStart"/>
                              <w:r w:rsidRPr="003B451F">
                                <w:rPr>
                                  <w:rFonts w:ascii="Verdana" w:eastAsia="Times New Roman" w:hAnsi="Verdana" w:cs="Arial"/>
                                  <w:color w:val="000000"/>
                                  <w:sz w:val="20"/>
                                  <w:szCs w:val="20"/>
                                  <w:lang w:eastAsia="tr-TR"/>
                                </w:rPr>
                                <w:t>Dahilde</w:t>
                              </w:r>
                              <w:proofErr w:type="gramEnd"/>
                              <w:r w:rsidRPr="003B451F">
                                <w:rPr>
                                  <w:rFonts w:ascii="Verdana" w:eastAsia="Times New Roman" w:hAnsi="Verdana" w:cs="Arial"/>
                                  <w:color w:val="000000"/>
                                  <w:sz w:val="20"/>
                                  <w:szCs w:val="20"/>
                                  <w:lang w:eastAsia="tr-TR"/>
                                </w:rPr>
                                <w:t xml:space="preserve"> İşleme Rejimi kapsamında elde edilen ikincil işlem görmüş ürünlerin serbest dolaşıma girişinde, 31.12.2009 tarihli ve 27449 (2 </w:t>
                              </w:r>
                              <w:proofErr w:type="spellStart"/>
                              <w:r w:rsidRPr="003B451F">
                                <w:rPr>
                                  <w:rFonts w:ascii="Verdana" w:eastAsia="Times New Roman" w:hAnsi="Verdana" w:cs="Arial"/>
                                  <w:color w:val="000000"/>
                                  <w:sz w:val="20"/>
                                  <w:szCs w:val="20"/>
                                  <w:lang w:eastAsia="tr-TR"/>
                                </w:rPr>
                                <w:t>nci</w:t>
                              </w:r>
                              <w:proofErr w:type="spellEnd"/>
                              <w:r w:rsidRPr="003B451F">
                                <w:rPr>
                                  <w:rFonts w:ascii="Verdana" w:eastAsia="Times New Roman" w:hAnsi="Verdana" w:cs="Arial"/>
                                  <w:color w:val="000000"/>
                                  <w:sz w:val="20"/>
                                  <w:szCs w:val="20"/>
                                  <w:lang w:eastAsia="tr-TR"/>
                                </w:rPr>
                                <w:t xml:space="preserve"> Mükerrer) sayılı Resmi </w:t>
                              </w:r>
                              <w:proofErr w:type="spellStart"/>
                              <w:r w:rsidRPr="003B451F">
                                <w:rPr>
                                  <w:rFonts w:ascii="Verdana" w:eastAsia="Times New Roman" w:hAnsi="Verdana" w:cs="Arial"/>
                                  <w:color w:val="000000"/>
                                  <w:sz w:val="20"/>
                                  <w:szCs w:val="20"/>
                                  <w:lang w:eastAsia="tr-TR"/>
                                </w:rPr>
                                <w:t>Gazete’de</w:t>
                              </w:r>
                              <w:proofErr w:type="spellEnd"/>
                              <w:r w:rsidRPr="003B451F">
                                <w:rPr>
                                  <w:rFonts w:ascii="Verdana" w:eastAsia="Times New Roman" w:hAnsi="Verdana" w:cs="Arial"/>
                                  <w:color w:val="000000"/>
                                  <w:sz w:val="20"/>
                                  <w:szCs w:val="20"/>
                                  <w:lang w:eastAsia="tr-TR"/>
                                </w:rPr>
                                <w:t xml:space="preserve"> yayımlanan “2010/1 sayılı İthalatta Gözetim Uygulamasına İlişkin Tebliğ” çerçevesinde düzenlenecek kayıt belgesinin aranıp aranmayacağına ilişkin </w:t>
                              </w:r>
                              <w:proofErr w:type="spellStart"/>
                              <w:r w:rsidRPr="003B451F">
                                <w:rPr>
                                  <w:rFonts w:ascii="Verdana" w:eastAsia="Times New Roman" w:hAnsi="Verdana" w:cs="Arial"/>
                                  <w:color w:val="000000"/>
                                  <w:sz w:val="20"/>
                                  <w:szCs w:val="20"/>
                                  <w:lang w:eastAsia="tr-TR"/>
                                </w:rPr>
                                <w:t>ilgi'de</w:t>
                              </w:r>
                              <w:proofErr w:type="spellEnd"/>
                              <w:r w:rsidRPr="003B451F">
                                <w:rPr>
                                  <w:rFonts w:ascii="Verdana" w:eastAsia="Times New Roman" w:hAnsi="Verdana" w:cs="Arial"/>
                                  <w:color w:val="000000"/>
                                  <w:sz w:val="20"/>
                                  <w:szCs w:val="20"/>
                                  <w:lang w:eastAsia="tr-TR"/>
                                </w:rPr>
                                <w:t xml:space="preserve"> kayıtlı yazınız incelenmiş olup, konu hakkında Bakanlığımız görüş ve değerlendirmeleri aşağıda sunulmaktadır.</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color w:val="000000"/>
                                  <w:sz w:val="20"/>
                                  <w:szCs w:val="20"/>
                                  <w:lang w:eastAsia="tr-TR"/>
                                </w:rPr>
                                <w:t xml:space="preserve">Malumları olduğu üzere, 27.01.2005 tarihli ve 25709 sayılı Resmi </w:t>
                              </w:r>
                              <w:proofErr w:type="spellStart"/>
                              <w:r w:rsidRPr="003B451F">
                                <w:rPr>
                                  <w:rFonts w:ascii="Verdana" w:eastAsia="Times New Roman" w:hAnsi="Verdana" w:cs="Arial"/>
                                  <w:color w:val="000000"/>
                                  <w:sz w:val="20"/>
                                  <w:szCs w:val="20"/>
                                  <w:lang w:eastAsia="tr-TR"/>
                                </w:rPr>
                                <w:t>Gazete'de</w:t>
                              </w:r>
                              <w:proofErr w:type="spellEnd"/>
                              <w:r w:rsidRPr="003B451F">
                                <w:rPr>
                                  <w:rFonts w:ascii="Verdana" w:eastAsia="Times New Roman" w:hAnsi="Verdana" w:cs="Arial"/>
                                  <w:color w:val="000000"/>
                                  <w:sz w:val="20"/>
                                  <w:szCs w:val="20"/>
                                  <w:lang w:eastAsia="tr-TR"/>
                                </w:rPr>
                                <w:t xml:space="preserve"> yayımlanan 2005/8391 sayılı "</w:t>
                              </w:r>
                              <w:proofErr w:type="gramStart"/>
                              <w:r w:rsidRPr="003B451F">
                                <w:rPr>
                                  <w:rFonts w:ascii="Verdana" w:eastAsia="Times New Roman" w:hAnsi="Verdana" w:cs="Arial"/>
                                  <w:color w:val="000000"/>
                                  <w:sz w:val="20"/>
                                  <w:szCs w:val="20"/>
                                  <w:lang w:eastAsia="tr-TR"/>
                                </w:rPr>
                                <w:t>Dahilde</w:t>
                              </w:r>
                              <w:proofErr w:type="gramEnd"/>
                              <w:r w:rsidRPr="003B451F">
                                <w:rPr>
                                  <w:rFonts w:ascii="Verdana" w:eastAsia="Times New Roman" w:hAnsi="Verdana" w:cs="Arial"/>
                                  <w:color w:val="000000"/>
                                  <w:sz w:val="20"/>
                                  <w:szCs w:val="20"/>
                                  <w:lang w:eastAsia="tr-TR"/>
                                </w:rPr>
                                <w:t xml:space="preserve"> İşleme Rejimi Karanının "ihracat Taahhüdünün Kapatılması" </w:t>
                              </w:r>
                              <w:proofErr w:type="spellStart"/>
                              <w:r w:rsidRPr="003B451F">
                                <w:rPr>
                                  <w:rFonts w:ascii="Verdana" w:eastAsia="Times New Roman" w:hAnsi="Verdana" w:cs="Arial"/>
                                  <w:color w:val="000000"/>
                                  <w:sz w:val="20"/>
                                  <w:szCs w:val="20"/>
                                  <w:lang w:eastAsia="tr-TR"/>
                                </w:rPr>
                                <w:t>matlaplı</w:t>
                              </w:r>
                              <w:proofErr w:type="spellEnd"/>
                              <w:r w:rsidRPr="003B451F">
                                <w:rPr>
                                  <w:rFonts w:ascii="Verdana" w:eastAsia="Times New Roman" w:hAnsi="Verdana" w:cs="Arial"/>
                                  <w:color w:val="000000"/>
                                  <w:sz w:val="20"/>
                                  <w:szCs w:val="20"/>
                                  <w:lang w:eastAsia="tr-TR"/>
                                </w:rPr>
                                <w:t xml:space="preserve"> 19 uncu Maddesi "...Dahilde işleme izin belgesi/dahilde işleme izni kapsamında ithal edilen eşyadan elde edilen ikincil işlem görmüş ürünün, belge/izin ihracat taahhüdünün kapatılmasından önce gümrük mevzuatı çerçevesinde gümrük idaresi gözetiminde imhası, gümrüğe terk edilmesi, çıkış hükmümle gümrüğe teslimi veya serbest dolaşıma giriş rejimi hükümlerine göre ithali hallerinde, bu ürünün ihracatının gerçekleştirilmesi aranmaz. İkincil işlem görmüş ürünün serbest dolaşıma giriş rejimine göre ithaline ilişkin usul ve esaslar, bu Karara istinaden yayımlanacak tebliğle belirlenir..." hükmünü haizdir.</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color w:val="000000"/>
                                  <w:sz w:val="20"/>
                                  <w:szCs w:val="20"/>
                                  <w:lang w:eastAsia="tr-TR"/>
                                </w:rPr>
                                <w:t xml:space="preserve">Bunun yanında, 20.12.2006 tarihli ve 26382 sayılı Resmi </w:t>
                              </w:r>
                              <w:proofErr w:type="spellStart"/>
                              <w:r w:rsidRPr="003B451F">
                                <w:rPr>
                                  <w:rFonts w:ascii="Verdana" w:eastAsia="Times New Roman" w:hAnsi="Verdana" w:cs="Arial"/>
                                  <w:color w:val="000000"/>
                                  <w:sz w:val="20"/>
                                  <w:szCs w:val="20"/>
                                  <w:lang w:eastAsia="tr-TR"/>
                                </w:rPr>
                                <w:t>Gazete'de</w:t>
                              </w:r>
                              <w:proofErr w:type="spellEnd"/>
                              <w:r w:rsidRPr="003B451F">
                                <w:rPr>
                                  <w:rFonts w:ascii="Verdana" w:eastAsia="Times New Roman" w:hAnsi="Verdana" w:cs="Arial"/>
                                  <w:color w:val="000000"/>
                                  <w:sz w:val="20"/>
                                  <w:szCs w:val="20"/>
                                  <w:lang w:eastAsia="tr-TR"/>
                                </w:rPr>
                                <w:t xml:space="preserve"> yayımlanan 2016/12 sayılı "</w:t>
                              </w:r>
                              <w:proofErr w:type="gramStart"/>
                              <w:r w:rsidRPr="003B451F">
                                <w:rPr>
                                  <w:rFonts w:ascii="Verdana" w:eastAsia="Times New Roman" w:hAnsi="Verdana" w:cs="Arial"/>
                                  <w:color w:val="000000"/>
                                  <w:sz w:val="20"/>
                                  <w:szCs w:val="20"/>
                                  <w:lang w:eastAsia="tr-TR"/>
                                </w:rPr>
                                <w:t>Dahilde</w:t>
                              </w:r>
                              <w:proofErr w:type="gramEnd"/>
                              <w:r w:rsidRPr="003B451F">
                                <w:rPr>
                                  <w:rFonts w:ascii="Verdana" w:eastAsia="Times New Roman" w:hAnsi="Verdana" w:cs="Arial"/>
                                  <w:color w:val="000000"/>
                                  <w:sz w:val="20"/>
                                  <w:szCs w:val="20"/>
                                  <w:lang w:eastAsia="tr-TR"/>
                                </w:rPr>
                                <w:t xml:space="preserve"> İşleme Rejimi </w:t>
                              </w:r>
                              <w:proofErr w:type="spellStart"/>
                              <w:r w:rsidRPr="003B451F">
                                <w:rPr>
                                  <w:rFonts w:ascii="Verdana" w:eastAsia="Times New Roman" w:hAnsi="Verdana" w:cs="Arial"/>
                                  <w:color w:val="000000"/>
                                  <w:sz w:val="20"/>
                                  <w:szCs w:val="20"/>
                                  <w:lang w:eastAsia="tr-TR"/>
                                </w:rPr>
                                <w:t>Tebliği"nin</w:t>
                              </w:r>
                              <w:proofErr w:type="spellEnd"/>
                              <w:r w:rsidRPr="003B451F">
                                <w:rPr>
                                  <w:rFonts w:ascii="Verdana" w:eastAsia="Times New Roman" w:hAnsi="Verdana" w:cs="Arial"/>
                                  <w:color w:val="000000"/>
                                  <w:sz w:val="20"/>
                                  <w:szCs w:val="20"/>
                                  <w:lang w:eastAsia="tr-TR"/>
                                </w:rPr>
                                <w:t xml:space="preserve"> 38 inci Maddesinin dokuzuncu fıkrası "Dahilde işleme izin belgesi/dahilde işleme izni kapsamında ithal edilen eşyadan elde edilen ikincil işlem görmüş ürünün, belge/izin ihracat taahhüdünün kapatılmasından önce gümrük mevzuatı çerçevesinde gümrük idaresi gözetiminde imhası, gümrüğe terk edilmesi, çıkış hükmünde gümrüğe teslimi veya serbest dolaşana giriş rejimi hükümlerine göre ithali hallerinde, bu ürünün ihracatının gerçekleştirilmesi aranmaz, İkincil işlem görmüş, ürünün serbest dolaşıma giriş rejimine göre ithali halinde, bu ürünün gümrük idaresine teslimi aranmaz ve bu ürüne ilişkin ithalat vergileri, belge/izin kapsamındaki gerçekleşme oranları üzerinden hesaplanan miktar ve birini fiyat esas alınarak tahsil edilir..." hükmünü havidir.</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color w:val="000000"/>
                                  <w:sz w:val="20"/>
                                  <w:szCs w:val="20"/>
                                  <w:lang w:eastAsia="tr-TR"/>
                                </w:rPr>
                                <w:t>Öte yandan, 4458 sayılı Gümrük Kanunu'nun Serbest Dolaşıma Girişi Rejimi başlıklı İkinci Ayırımının 74 üncü maddesi; "Türkiye Gümrük Bölgesine gelen eşyanın serbest dolaşıma girişi; ticaret politikası önlemlerinin uygulanması, eşyanın ithali için öngörülen diğer işlemlerin tamamlanması ve kanunen ödenmesi gereken vergilerin tahsili ile mümkündür.11 hükmünü amir bulunmaktadır.</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proofErr w:type="gramStart"/>
                              <w:r w:rsidRPr="003B451F">
                                <w:rPr>
                                  <w:rFonts w:ascii="Verdana" w:eastAsia="Times New Roman" w:hAnsi="Verdana" w:cs="Arial"/>
                                  <w:color w:val="000000"/>
                                  <w:sz w:val="20"/>
                                  <w:szCs w:val="20"/>
                                  <w:lang w:eastAsia="tr-TR"/>
                                </w:rPr>
                                <w:t xml:space="preserve">Diğer taraftan, 31.12.2009 tarihli ve 27449 (2 </w:t>
                              </w:r>
                              <w:proofErr w:type="spellStart"/>
                              <w:r w:rsidRPr="003B451F">
                                <w:rPr>
                                  <w:rFonts w:ascii="Verdana" w:eastAsia="Times New Roman" w:hAnsi="Verdana" w:cs="Arial"/>
                                  <w:color w:val="000000"/>
                                  <w:sz w:val="20"/>
                                  <w:szCs w:val="20"/>
                                  <w:lang w:eastAsia="tr-TR"/>
                                </w:rPr>
                                <w:t>nci</w:t>
                              </w:r>
                              <w:proofErr w:type="spellEnd"/>
                              <w:r w:rsidRPr="003B451F">
                                <w:rPr>
                                  <w:rFonts w:ascii="Verdana" w:eastAsia="Times New Roman" w:hAnsi="Verdana" w:cs="Arial"/>
                                  <w:color w:val="000000"/>
                                  <w:sz w:val="20"/>
                                  <w:szCs w:val="20"/>
                                  <w:lang w:eastAsia="tr-TR"/>
                                </w:rPr>
                                <w:t xml:space="preserve"> Mükerrer) sayılı Resmi </w:t>
                              </w:r>
                              <w:proofErr w:type="spellStart"/>
                              <w:r w:rsidRPr="003B451F">
                                <w:rPr>
                                  <w:rFonts w:ascii="Verdana" w:eastAsia="Times New Roman" w:hAnsi="Verdana" w:cs="Arial"/>
                                  <w:color w:val="000000"/>
                                  <w:sz w:val="20"/>
                                  <w:szCs w:val="20"/>
                                  <w:lang w:eastAsia="tr-TR"/>
                                </w:rPr>
                                <w:t>Gazete'de</w:t>
                              </w:r>
                              <w:proofErr w:type="spellEnd"/>
                              <w:r w:rsidRPr="003B451F">
                                <w:rPr>
                                  <w:rFonts w:ascii="Verdana" w:eastAsia="Times New Roman" w:hAnsi="Verdana" w:cs="Arial"/>
                                  <w:color w:val="000000"/>
                                  <w:sz w:val="20"/>
                                  <w:szCs w:val="20"/>
                                  <w:lang w:eastAsia="tr-TR"/>
                                </w:rPr>
                                <w:t xml:space="preserve"> yayımlanan 2010/1 sayılı "İthalatta Gözetim Uygulanmasına İlişkin Tebliğ" hükümler çerçevesinde, anılan Tebliğ kapsamında yer alan eşyayı ithal etmek isteyen ithalatçılara, gerçekleştirecekleri ithalata ilişkin bilgileri ithalattan önce Bakanlığımız tarafından yetkilendirilen "Kayıt </w:t>
                              </w:r>
                              <w:proofErr w:type="spellStart"/>
                              <w:r w:rsidRPr="003B451F">
                                <w:rPr>
                                  <w:rFonts w:ascii="Verdana" w:eastAsia="Times New Roman" w:hAnsi="Verdana" w:cs="Arial"/>
                                  <w:color w:val="000000"/>
                                  <w:sz w:val="20"/>
                                  <w:szCs w:val="20"/>
                                  <w:lang w:eastAsia="tr-TR"/>
                                </w:rPr>
                                <w:t>Merkezleri”ne</w:t>
                              </w:r>
                              <w:proofErr w:type="spellEnd"/>
                              <w:r w:rsidRPr="003B451F">
                                <w:rPr>
                                  <w:rFonts w:ascii="Verdana" w:eastAsia="Times New Roman" w:hAnsi="Verdana" w:cs="Arial"/>
                                  <w:color w:val="000000"/>
                                  <w:sz w:val="20"/>
                                  <w:szCs w:val="20"/>
                                  <w:lang w:eastAsia="tr-TR"/>
                                </w:rPr>
                                <w:t xml:space="preserve"> kaydettirecekleri ve söz konusu eşyanın ithalinde, ithal işleminin kayda alındığına </w:t>
                              </w:r>
                              <w:proofErr w:type="spellStart"/>
                              <w:r w:rsidRPr="003B451F">
                                <w:rPr>
                                  <w:rFonts w:ascii="Verdana" w:eastAsia="Times New Roman" w:hAnsi="Verdana" w:cs="Arial"/>
                                  <w:color w:val="000000"/>
                                  <w:sz w:val="20"/>
                                  <w:szCs w:val="20"/>
                                  <w:lang w:eastAsia="tr-TR"/>
                                </w:rPr>
                                <w:t>dâir</w:t>
                              </w:r>
                              <w:proofErr w:type="spellEnd"/>
                              <w:r w:rsidRPr="003B451F">
                                <w:rPr>
                                  <w:rFonts w:ascii="Verdana" w:eastAsia="Times New Roman" w:hAnsi="Verdana" w:cs="Arial"/>
                                  <w:color w:val="000000"/>
                                  <w:sz w:val="20"/>
                                  <w:szCs w:val="20"/>
                                  <w:lang w:eastAsia="tr-TR"/>
                                </w:rPr>
                                <w:t xml:space="preserve"> bir "Kayıt </w:t>
                              </w:r>
                              <w:proofErr w:type="spellStart"/>
                              <w:r w:rsidRPr="003B451F">
                                <w:rPr>
                                  <w:rFonts w:ascii="Verdana" w:eastAsia="Times New Roman" w:hAnsi="Verdana" w:cs="Arial"/>
                                  <w:color w:val="000000"/>
                                  <w:sz w:val="20"/>
                                  <w:szCs w:val="20"/>
                                  <w:lang w:eastAsia="tr-TR"/>
                                </w:rPr>
                                <w:t>Belgesi"nin</w:t>
                              </w:r>
                              <w:proofErr w:type="spellEnd"/>
                              <w:r w:rsidRPr="003B451F">
                                <w:rPr>
                                  <w:rFonts w:ascii="Verdana" w:eastAsia="Times New Roman" w:hAnsi="Verdana" w:cs="Arial"/>
                                  <w:color w:val="000000"/>
                                  <w:sz w:val="20"/>
                                  <w:szCs w:val="20"/>
                                  <w:lang w:eastAsia="tr-TR"/>
                                </w:rPr>
                                <w:t xml:space="preserve"> düzenleneceği hükme bağlanmıştır.</w:t>
                              </w:r>
                              <w:proofErr w:type="gramEnd"/>
                            </w:p>
                            <w:p w:rsidR="003B451F" w:rsidRPr="003B451F" w:rsidRDefault="003B451F" w:rsidP="003B451F">
                              <w:pPr>
                                <w:spacing w:before="100" w:beforeAutospacing="1" w:after="100" w:afterAutospacing="1" w:line="240" w:lineRule="auto"/>
                                <w:rPr>
                                  <w:rFonts w:ascii="Verdana" w:eastAsia="Times New Roman" w:hAnsi="Verdana" w:cs="Arial"/>
                                  <w:color w:val="FF0000"/>
                                  <w:sz w:val="20"/>
                                  <w:szCs w:val="20"/>
                                  <w:lang w:eastAsia="tr-TR"/>
                                </w:rPr>
                              </w:pPr>
                              <w:r w:rsidRPr="003B451F">
                                <w:rPr>
                                  <w:rFonts w:ascii="Verdana" w:eastAsia="Times New Roman" w:hAnsi="Verdana" w:cs="Arial"/>
                                  <w:color w:val="000000"/>
                                  <w:sz w:val="20"/>
                                  <w:szCs w:val="20"/>
                                  <w:lang w:eastAsia="tr-TR"/>
                                </w:rPr>
                                <w:t xml:space="preserve">Anılan hususlar kapsamında, </w:t>
                              </w:r>
                              <w:proofErr w:type="gramStart"/>
                              <w:r w:rsidRPr="003B451F">
                                <w:rPr>
                                  <w:rFonts w:ascii="Verdana" w:eastAsia="Times New Roman" w:hAnsi="Verdana" w:cs="Arial"/>
                                  <w:color w:val="FF0000"/>
                                  <w:sz w:val="20"/>
                                  <w:szCs w:val="20"/>
                                  <w:lang w:eastAsia="tr-TR"/>
                                </w:rPr>
                                <w:t>dahilde</w:t>
                              </w:r>
                              <w:proofErr w:type="gramEnd"/>
                              <w:r w:rsidRPr="003B451F">
                                <w:rPr>
                                  <w:rFonts w:ascii="Verdana" w:eastAsia="Times New Roman" w:hAnsi="Verdana" w:cs="Arial"/>
                                  <w:color w:val="FF0000"/>
                                  <w:sz w:val="20"/>
                                  <w:szCs w:val="20"/>
                                  <w:lang w:eastAsia="tr-TR"/>
                                </w:rPr>
                                <w:t xml:space="preserve"> işleme izin belgesi/dahilde işleme izni kapsamında ithal edilen eşyadan elde edilen ikincil işlem görmüş ürünün ülkemize ithalinin ancak serbest dolaşıma giriş rejimi hükümleri çerçevesinde mümkün bulunduğu dikkate alınarak, bahis konusu eşyanın serbest dolaşıma girişinde 2010/1 sayılı Tebliğ hükümleri uyarınca düzenlenecek kayıt belgesinin gümrük idarelerince aranması gerekmektedir.</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color w:val="000000"/>
                                  <w:sz w:val="20"/>
                                  <w:szCs w:val="20"/>
                                  <w:lang w:eastAsia="tr-TR"/>
                                </w:rPr>
                                <w:t>Bilgileri ve gereğini arz ederim.</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color w:val="000000"/>
                                  <w:sz w:val="20"/>
                                  <w:szCs w:val="20"/>
                                  <w:lang w:eastAsia="tr-TR"/>
                                </w:rPr>
                                <w:t> </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color w:val="000000"/>
                                  <w:sz w:val="20"/>
                                  <w:szCs w:val="20"/>
                                  <w:lang w:eastAsia="tr-TR"/>
                                </w:rPr>
                                <w:t> </w:t>
                              </w:r>
                            </w:p>
                            <w:p w:rsidR="003B451F" w:rsidRPr="003B451F" w:rsidRDefault="003B451F" w:rsidP="003B451F">
                              <w:pPr>
                                <w:spacing w:before="100" w:beforeAutospacing="1" w:after="100" w:afterAutospacing="1" w:line="240" w:lineRule="auto"/>
                                <w:jc w:val="right"/>
                                <w:rPr>
                                  <w:rFonts w:ascii="Verdana" w:eastAsia="Times New Roman" w:hAnsi="Verdana" w:cs="Arial"/>
                                  <w:color w:val="000000"/>
                                  <w:sz w:val="20"/>
                                  <w:szCs w:val="20"/>
                                  <w:lang w:eastAsia="tr-TR"/>
                                </w:rPr>
                              </w:pPr>
                              <w:r w:rsidRPr="003B451F">
                                <w:rPr>
                                  <w:rFonts w:ascii="Verdana" w:eastAsia="Times New Roman" w:hAnsi="Verdana" w:cs="Arial"/>
                                  <w:color w:val="000000"/>
                                  <w:sz w:val="20"/>
                                  <w:szCs w:val="20"/>
                                  <w:lang w:eastAsia="tr-TR"/>
                                </w:rPr>
                                <w:t>Ahmet Erkan ÇETİNKAYIŞ</w:t>
                              </w:r>
                            </w:p>
                            <w:p w:rsidR="003B451F" w:rsidRPr="003B451F" w:rsidRDefault="003B451F" w:rsidP="003B451F">
                              <w:pPr>
                                <w:spacing w:before="100" w:beforeAutospacing="1" w:after="100" w:afterAutospacing="1" w:line="240" w:lineRule="auto"/>
                                <w:jc w:val="right"/>
                                <w:rPr>
                                  <w:rFonts w:ascii="Verdana" w:eastAsia="Times New Roman" w:hAnsi="Verdana" w:cs="Arial"/>
                                  <w:color w:val="000000"/>
                                  <w:sz w:val="20"/>
                                  <w:szCs w:val="20"/>
                                  <w:lang w:eastAsia="tr-TR"/>
                                </w:rPr>
                              </w:pPr>
                              <w:r w:rsidRPr="003B451F">
                                <w:rPr>
                                  <w:rFonts w:ascii="Verdana" w:eastAsia="Times New Roman" w:hAnsi="Verdana" w:cs="Arial"/>
                                  <w:color w:val="000000"/>
                                  <w:sz w:val="20"/>
                                  <w:szCs w:val="20"/>
                                  <w:lang w:eastAsia="tr-TR"/>
                                </w:rPr>
                                <w:t>Bakan a.</w:t>
                              </w:r>
                            </w:p>
                            <w:p w:rsidR="003B451F" w:rsidRPr="003B451F" w:rsidRDefault="003B451F" w:rsidP="003B451F">
                              <w:pPr>
                                <w:spacing w:before="100" w:beforeAutospacing="1" w:after="100" w:afterAutospacing="1" w:line="240" w:lineRule="auto"/>
                                <w:jc w:val="right"/>
                                <w:rPr>
                                  <w:rFonts w:ascii="Verdana" w:eastAsia="Times New Roman" w:hAnsi="Verdana" w:cs="Arial"/>
                                  <w:color w:val="000000"/>
                                  <w:sz w:val="20"/>
                                  <w:szCs w:val="20"/>
                                  <w:lang w:eastAsia="tr-TR"/>
                                </w:rPr>
                              </w:pPr>
                              <w:r w:rsidRPr="003B451F">
                                <w:rPr>
                                  <w:rFonts w:ascii="Verdana" w:eastAsia="Times New Roman" w:hAnsi="Verdana" w:cs="Arial"/>
                                  <w:color w:val="000000"/>
                                  <w:sz w:val="20"/>
                                  <w:szCs w:val="20"/>
                                  <w:lang w:eastAsia="tr-TR"/>
                                </w:rPr>
                                <w:t>Genel Müdür V.</w:t>
                              </w:r>
                            </w:p>
                            <w:p w:rsidR="003B451F" w:rsidRPr="003B451F" w:rsidRDefault="003B451F" w:rsidP="003B451F">
                              <w:pPr>
                                <w:spacing w:before="100" w:beforeAutospacing="1" w:after="100" w:afterAutospacing="1" w:line="240" w:lineRule="auto"/>
                                <w:rPr>
                                  <w:rFonts w:ascii="Verdana" w:eastAsia="Times New Roman" w:hAnsi="Verdana" w:cs="Arial"/>
                                  <w:color w:val="000000"/>
                                  <w:sz w:val="20"/>
                                  <w:szCs w:val="20"/>
                                  <w:lang w:eastAsia="tr-TR"/>
                                </w:rPr>
                              </w:pPr>
                              <w:r w:rsidRPr="003B451F">
                                <w:rPr>
                                  <w:rFonts w:ascii="Verdana" w:eastAsia="Times New Roman" w:hAnsi="Verdana" w:cs="Arial"/>
                                  <w:color w:val="000000"/>
                                  <w:sz w:val="20"/>
                                  <w:szCs w:val="20"/>
                                  <w:lang w:eastAsia="tr-TR"/>
                                </w:rPr>
                                <w:t> </w:t>
                              </w:r>
                            </w:p>
                            <w:p w:rsidR="003B451F" w:rsidRPr="003B451F" w:rsidRDefault="003B451F" w:rsidP="003B451F">
                              <w:pPr>
                                <w:spacing w:after="0" w:line="240" w:lineRule="auto"/>
                                <w:rPr>
                                  <w:rFonts w:ascii="Verdana" w:eastAsia="Times New Roman" w:hAnsi="Verdana" w:cs="Times New Roman"/>
                                  <w:color w:val="000000"/>
                                  <w:sz w:val="20"/>
                                  <w:szCs w:val="20"/>
                                  <w:lang w:eastAsia="tr-TR"/>
                                </w:rPr>
                              </w:pPr>
                            </w:p>
                          </w:tc>
                        </w:tr>
                      </w:tbl>
                      <w:p w:rsidR="003B451F" w:rsidRPr="003B451F" w:rsidRDefault="003B451F" w:rsidP="003B451F">
                        <w:pPr>
                          <w:spacing w:after="0" w:line="240" w:lineRule="auto"/>
                          <w:rPr>
                            <w:rFonts w:ascii="Verdana" w:eastAsia="Times New Roman" w:hAnsi="Verdana" w:cs="Times New Roman"/>
                            <w:color w:val="FFFFFF"/>
                            <w:sz w:val="18"/>
                            <w:szCs w:val="18"/>
                            <w:lang w:eastAsia="tr-TR"/>
                          </w:rPr>
                        </w:pPr>
                      </w:p>
                    </w:tc>
                  </w:tr>
                  <w:tr w:rsidR="003B451F" w:rsidRPr="003B451F">
                    <w:trPr>
                      <w:trHeight w:val="180"/>
                      <w:tblCellSpacing w:w="0" w:type="dxa"/>
                      <w:hidden/>
                    </w:trPr>
                    <w:tc>
                      <w:tcPr>
                        <w:tcW w:w="0" w:type="auto"/>
                        <w:shd w:val="clear" w:color="auto" w:fill="104E83"/>
                        <w:hideMark/>
                      </w:tcPr>
                      <w:p w:rsidR="003B451F" w:rsidRPr="003B451F" w:rsidRDefault="003B451F" w:rsidP="003B451F">
                        <w:pPr>
                          <w:spacing w:after="0" w:line="240" w:lineRule="auto"/>
                          <w:rPr>
                            <w:rFonts w:ascii="Verdana" w:eastAsia="Times New Roman" w:hAnsi="Verdana" w:cs="Times New Roman"/>
                            <w:vanish/>
                            <w:color w:val="FFFFFF"/>
                            <w:sz w:val="18"/>
                            <w:szCs w:val="18"/>
                            <w:lang w:eastAsia="tr-TR"/>
                          </w:rPr>
                        </w:pPr>
                        <w:r w:rsidRPr="003B451F">
                          <w:rPr>
                            <w:rFonts w:ascii="Verdana" w:eastAsia="Times New Roman" w:hAnsi="Verdana" w:cs="Times New Roman"/>
                            <w:vanish/>
                            <w:color w:val="FFFFFF"/>
                            <w:sz w:val="18"/>
                            <w:szCs w:val="18"/>
                            <w:lang w:eastAsia="tr-T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25pt;height:18pt" o:ole="">
                              <v:imagedata r:id="rId5" o:title=""/>
                            </v:shape>
                            <w:control r:id="rId6" w:name="DefaultOcxName" w:shapeid="_x0000_i1038"/>
                          </w:object>
                        </w:r>
                        <w:r w:rsidRPr="003B451F">
                          <w:rPr>
                            <w:rFonts w:ascii="Verdana" w:eastAsia="Times New Roman" w:hAnsi="Verdana" w:cs="Times New Roman"/>
                            <w:vanish/>
                            <w:color w:val="FFFFFF"/>
                            <w:sz w:val="18"/>
                            <w:szCs w:val="18"/>
                            <w:lang w:eastAsia="tr-TR"/>
                          </w:rPr>
                          <w:t>  İlgili Mevzuatları Göster</w:t>
                        </w:r>
                      </w:p>
                    </w:tc>
                  </w:tr>
                  <w:tr w:rsidR="003B451F" w:rsidRPr="003B451F">
                    <w:trPr>
                      <w:trHeight w:val="180"/>
                      <w:tblCellSpacing w:w="0" w:type="dxa"/>
                      <w:hidden/>
                    </w:trPr>
                    <w:tc>
                      <w:tcPr>
                        <w:tcW w:w="0" w:type="auto"/>
                        <w:hideMark/>
                      </w:tcPr>
                      <w:tbl>
                        <w:tblPr>
                          <w:tblW w:w="5000" w:type="pct"/>
                          <w:tblBorders>
                            <w:top w:val="single" w:sz="2" w:space="0" w:color="auto"/>
                            <w:left w:val="single" w:sz="2" w:space="0" w:color="auto"/>
                            <w:bottom w:val="single" w:sz="2" w:space="0" w:color="auto"/>
                            <w:right w:val="single" w:sz="2" w:space="0" w:color="auto"/>
                          </w:tblBorders>
                          <w:tblCellMar>
                            <w:top w:w="45" w:type="dxa"/>
                            <w:left w:w="45" w:type="dxa"/>
                            <w:bottom w:w="45" w:type="dxa"/>
                            <w:right w:w="45" w:type="dxa"/>
                          </w:tblCellMar>
                          <w:tblLook w:val="04A0" w:firstRow="1" w:lastRow="0" w:firstColumn="1" w:lastColumn="0" w:noHBand="0" w:noVBand="1"/>
                        </w:tblPr>
                        <w:tblGrid>
                          <w:gridCol w:w="9066"/>
                        </w:tblGrid>
                        <w:tr w:rsidR="003B451F" w:rsidRPr="003B451F">
                          <w:trPr>
                            <w:hidden/>
                          </w:trPr>
                          <w:tc>
                            <w:tcPr>
                              <w:tcW w:w="0" w:type="auto"/>
                              <w:vAlign w:val="center"/>
                              <w:hideMark/>
                            </w:tcPr>
                            <w:p w:rsidR="003B451F" w:rsidRPr="003B451F" w:rsidRDefault="003B451F" w:rsidP="003B451F">
                              <w:pPr>
                                <w:spacing w:after="0" w:line="240" w:lineRule="auto"/>
                                <w:rPr>
                                  <w:rFonts w:ascii="Verdana" w:eastAsia="Times New Roman" w:hAnsi="Verdana" w:cs="Times New Roman"/>
                                  <w:vanish/>
                                  <w:color w:val="FFFFFF"/>
                                  <w:sz w:val="18"/>
                                  <w:szCs w:val="18"/>
                                  <w:lang w:eastAsia="tr-TR"/>
                                </w:rPr>
                              </w:pPr>
                            </w:p>
                          </w:tc>
                        </w:tr>
                      </w:tbl>
                      <w:p w:rsidR="003B451F" w:rsidRPr="003B451F" w:rsidRDefault="003B451F" w:rsidP="003B451F">
                        <w:pPr>
                          <w:spacing w:after="0" w:line="240" w:lineRule="auto"/>
                          <w:rPr>
                            <w:rFonts w:ascii="Verdana" w:eastAsia="Times New Roman" w:hAnsi="Verdana" w:cs="Times New Roman"/>
                            <w:vanish/>
                            <w:color w:val="7AA6D3"/>
                            <w:sz w:val="18"/>
                            <w:szCs w:val="18"/>
                            <w:lang w:eastAsia="tr-TR"/>
                          </w:rPr>
                        </w:pPr>
                      </w:p>
                    </w:tc>
                  </w:tr>
                  <w:tr w:rsidR="003B451F" w:rsidRPr="003B451F">
                    <w:trPr>
                      <w:trHeight w:val="180"/>
                      <w:tblCellSpacing w:w="0" w:type="dxa"/>
                      <w:hidden/>
                    </w:trPr>
                    <w:tc>
                      <w:tcPr>
                        <w:tcW w:w="0" w:type="auto"/>
                        <w:shd w:val="clear" w:color="auto" w:fill="104E83"/>
                        <w:hideMark/>
                      </w:tcPr>
                      <w:p w:rsidR="003B451F" w:rsidRPr="003B451F" w:rsidRDefault="003B451F" w:rsidP="003B451F">
                        <w:pPr>
                          <w:spacing w:after="0" w:line="240" w:lineRule="auto"/>
                          <w:rPr>
                            <w:rFonts w:ascii="Verdana" w:eastAsia="Times New Roman" w:hAnsi="Verdana" w:cs="Times New Roman"/>
                            <w:vanish/>
                            <w:color w:val="FFFFFF"/>
                            <w:sz w:val="18"/>
                            <w:szCs w:val="18"/>
                            <w:lang w:eastAsia="tr-TR"/>
                          </w:rPr>
                        </w:pPr>
                        <w:r w:rsidRPr="003B451F">
                          <w:rPr>
                            <w:rFonts w:ascii="Verdana" w:eastAsia="Times New Roman" w:hAnsi="Verdana" w:cs="Times New Roman"/>
                            <w:vanish/>
                            <w:color w:val="FFFFFF"/>
                            <w:sz w:val="18"/>
                            <w:szCs w:val="18"/>
                            <w:lang w:eastAsia="tr-TR"/>
                          </w:rPr>
                          <w:object w:dxaOrig="1440" w:dyaOrig="1440">
                            <v:shape id="_x0000_i1037" type="#_x0000_t75" style="width:20.25pt;height:18pt" o:ole="">
                              <v:imagedata r:id="rId5" o:title=""/>
                            </v:shape>
                            <w:control r:id="rId7" w:name="DefaultOcxName1" w:shapeid="_x0000_i1037"/>
                          </w:object>
                        </w:r>
                        <w:r w:rsidRPr="003B451F">
                          <w:rPr>
                            <w:rFonts w:ascii="Verdana" w:eastAsia="Times New Roman" w:hAnsi="Verdana" w:cs="Times New Roman"/>
                            <w:vanish/>
                            <w:color w:val="FFFFFF"/>
                            <w:sz w:val="18"/>
                            <w:szCs w:val="18"/>
                            <w:lang w:eastAsia="tr-TR"/>
                          </w:rPr>
                          <w:t>Bu Mevzuatın Yürürlükten Kaldırdığı/Değiştirdiği Mevzuatları Göster</w:t>
                        </w:r>
                      </w:p>
                    </w:tc>
                  </w:tr>
                  <w:tr w:rsidR="003B451F" w:rsidRPr="003B451F">
                    <w:trPr>
                      <w:trHeight w:val="150"/>
                      <w:tblCellSpacing w:w="0" w:type="dxa"/>
                      <w:hidden/>
                    </w:trPr>
                    <w:tc>
                      <w:tcPr>
                        <w:tcW w:w="0" w:type="auto"/>
                        <w:hideMark/>
                      </w:tcPr>
                      <w:tbl>
                        <w:tblPr>
                          <w:tblW w:w="5000" w:type="pct"/>
                          <w:tblBorders>
                            <w:top w:val="single" w:sz="2" w:space="0" w:color="auto"/>
                            <w:left w:val="single" w:sz="2" w:space="0" w:color="auto"/>
                            <w:bottom w:val="single" w:sz="2" w:space="0" w:color="auto"/>
                            <w:right w:val="single" w:sz="2" w:space="0" w:color="auto"/>
                          </w:tblBorders>
                          <w:tblCellMar>
                            <w:top w:w="45" w:type="dxa"/>
                            <w:left w:w="45" w:type="dxa"/>
                            <w:bottom w:w="45" w:type="dxa"/>
                            <w:right w:w="45" w:type="dxa"/>
                          </w:tblCellMar>
                          <w:tblLook w:val="04A0" w:firstRow="1" w:lastRow="0" w:firstColumn="1" w:lastColumn="0" w:noHBand="0" w:noVBand="1"/>
                        </w:tblPr>
                        <w:tblGrid>
                          <w:gridCol w:w="9066"/>
                        </w:tblGrid>
                        <w:tr w:rsidR="003B451F" w:rsidRPr="003B451F">
                          <w:trPr>
                            <w:hidden/>
                          </w:trPr>
                          <w:tc>
                            <w:tcPr>
                              <w:tcW w:w="0" w:type="auto"/>
                              <w:vAlign w:val="center"/>
                              <w:hideMark/>
                            </w:tcPr>
                            <w:p w:rsidR="003B451F" w:rsidRPr="003B451F" w:rsidRDefault="003B451F" w:rsidP="003B451F">
                              <w:pPr>
                                <w:spacing w:after="0" w:line="240" w:lineRule="auto"/>
                                <w:rPr>
                                  <w:rFonts w:ascii="Verdana" w:eastAsia="Times New Roman" w:hAnsi="Verdana" w:cs="Times New Roman"/>
                                  <w:vanish/>
                                  <w:color w:val="FFFFFF"/>
                                  <w:sz w:val="18"/>
                                  <w:szCs w:val="18"/>
                                  <w:lang w:eastAsia="tr-TR"/>
                                </w:rPr>
                              </w:pPr>
                            </w:p>
                          </w:tc>
                        </w:tr>
                      </w:tbl>
                      <w:p w:rsidR="003B451F" w:rsidRPr="003B451F" w:rsidRDefault="003B451F" w:rsidP="003B451F">
                        <w:pPr>
                          <w:spacing w:after="0" w:line="240" w:lineRule="auto"/>
                          <w:rPr>
                            <w:rFonts w:ascii="Verdana" w:eastAsia="Times New Roman" w:hAnsi="Verdana" w:cs="Times New Roman"/>
                            <w:vanish/>
                            <w:color w:val="7AA6D3"/>
                            <w:sz w:val="18"/>
                            <w:szCs w:val="18"/>
                            <w:lang w:eastAsia="tr-TR"/>
                          </w:rPr>
                        </w:pPr>
                      </w:p>
                    </w:tc>
                  </w:tr>
                </w:tbl>
                <w:p w:rsidR="003B451F" w:rsidRPr="003B451F" w:rsidRDefault="003B451F" w:rsidP="003B451F">
                  <w:pPr>
                    <w:spacing w:after="0" w:line="240" w:lineRule="auto"/>
                    <w:rPr>
                      <w:rFonts w:ascii="Times New Roman" w:eastAsia="Times New Roman" w:hAnsi="Times New Roman" w:cs="Times New Roman"/>
                      <w:sz w:val="24"/>
                      <w:szCs w:val="24"/>
                      <w:lang w:eastAsia="tr-TR"/>
                    </w:rPr>
                  </w:pPr>
                </w:p>
              </w:tc>
            </w:tr>
          </w:tbl>
          <w:p w:rsidR="003B451F" w:rsidRPr="003B451F" w:rsidRDefault="003B451F" w:rsidP="003B451F">
            <w:pPr>
              <w:spacing w:after="0" w:line="240" w:lineRule="auto"/>
              <w:rPr>
                <w:rFonts w:ascii="Times New Roman" w:eastAsia="Times New Roman" w:hAnsi="Times New Roman" w:cs="Times New Roman"/>
                <w:sz w:val="24"/>
                <w:szCs w:val="24"/>
                <w:lang w:eastAsia="tr-TR"/>
              </w:rPr>
            </w:pPr>
          </w:p>
        </w:tc>
      </w:tr>
    </w:tbl>
    <w:p w:rsidR="003B451F" w:rsidRPr="003B451F" w:rsidRDefault="003B451F" w:rsidP="003B451F">
      <w:pPr>
        <w:spacing w:after="0" w:line="240" w:lineRule="auto"/>
        <w:rPr>
          <w:rFonts w:ascii="Times New Roman" w:eastAsia="Times New Roman" w:hAnsi="Times New Roman" w:cs="Times New Roman"/>
          <w:sz w:val="24"/>
          <w:szCs w:val="24"/>
          <w:lang w:eastAsia="tr-TR"/>
        </w:rPr>
      </w:pPr>
      <w:r w:rsidRPr="003B451F">
        <w:rPr>
          <w:rFonts w:ascii="Times New Roman" w:eastAsia="Times New Roman" w:hAnsi="Times New Roman" w:cs="Times New Roman"/>
          <w:sz w:val="24"/>
          <w:szCs w:val="24"/>
          <w:lang w:eastAsia="tr-TR"/>
        </w:rPr>
        <w:t xml:space="preserve">    </w:t>
      </w:r>
    </w:p>
    <w:p w:rsidR="003B451F" w:rsidRPr="003B451F" w:rsidRDefault="003B451F" w:rsidP="003B451F">
      <w:pPr>
        <w:spacing w:after="0" w:line="240" w:lineRule="auto"/>
        <w:rPr>
          <w:rFonts w:ascii="Times New Roman" w:eastAsia="Times New Roman" w:hAnsi="Times New Roman" w:cs="Times New Roman"/>
          <w:vanish/>
          <w:sz w:val="24"/>
          <w:szCs w:val="24"/>
          <w:lang w:eastAsia="tr-TR"/>
        </w:rPr>
      </w:pPr>
      <w:r w:rsidRPr="003B451F">
        <w:rPr>
          <w:rFonts w:ascii="Times New Roman" w:eastAsia="Times New Roman" w:hAnsi="Times New Roman" w:cs="Times New Roman"/>
          <w:vanish/>
          <w:sz w:val="24"/>
          <w:szCs w:val="24"/>
          <w:lang w:eastAsia="tr-TR"/>
        </w:rPr>
        <w:object w:dxaOrig="1440" w:dyaOrig="1440">
          <v:shape id="_x0000_i1036" type="#_x0000_t75" style="width:36pt;height:22.5pt" o:ole="">
            <v:imagedata r:id="rId8" o:title=""/>
          </v:shape>
          <w:control r:id="rId9" w:name="DefaultOcxName2" w:shapeid="_x0000_i1036"/>
        </w:object>
      </w:r>
      <w:r w:rsidRPr="003B451F">
        <w:rPr>
          <w:rFonts w:ascii="Times New Roman" w:eastAsia="Times New Roman" w:hAnsi="Times New Roman" w:cs="Times New Roman"/>
          <w:vanish/>
          <w:sz w:val="24"/>
          <w:szCs w:val="24"/>
          <w:lang w:eastAsia="tr-TR"/>
        </w:rPr>
        <w:object w:dxaOrig="1440" w:dyaOrig="1440">
          <v:shape id="_x0000_i1035" type="#_x0000_t75" style="width:1in;height:18pt" o:ole="">
            <v:imagedata r:id="rId10" o:title=""/>
          </v:shape>
          <w:control r:id="rId11" w:name="DefaultOcxName3" w:shapeid="_x0000_i1035"/>
        </w:object>
      </w:r>
    </w:p>
    <w:p w:rsidR="00703690" w:rsidRDefault="003B451F" w:rsidP="003B451F">
      <w:r w:rsidRPr="003B451F">
        <w:rPr>
          <w:rFonts w:ascii="Times New Roman" w:eastAsia="Times New Roman" w:hAnsi="Times New Roman" w:cs="Times New Roman"/>
          <w:vanish/>
          <w:sz w:val="24"/>
          <w:szCs w:val="24"/>
          <w:lang w:eastAsia="tr-TR"/>
        </w:rPr>
        <w:pict/>
      </w:r>
    </w:p>
    <w:sectPr w:rsidR="00703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391"/>
    <w:rsid w:val="003B451F"/>
    <w:rsid w:val="003D1391"/>
    <w:rsid w:val="007036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7D332-5724-4FF2-B222-D7EE6071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44495">
      <w:bodyDiv w:val="1"/>
      <w:marLeft w:val="0"/>
      <w:marRight w:val="0"/>
      <w:marTop w:val="0"/>
      <w:marBottom w:val="0"/>
      <w:divBdr>
        <w:top w:val="none" w:sz="0" w:space="0" w:color="auto"/>
        <w:left w:val="none" w:sz="0" w:space="0" w:color="auto"/>
        <w:bottom w:val="none" w:sz="0" w:space="0" w:color="auto"/>
        <w:right w:val="none" w:sz="0" w:space="0" w:color="auto"/>
      </w:divBdr>
      <w:divsChild>
        <w:div w:id="947812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4.xml"/><Relationship Id="rId5" Type="http://schemas.openxmlformats.org/officeDocument/2006/relationships/image" Target="media/image1.wmf"/><Relationship Id="rId10" Type="http://schemas.openxmlformats.org/officeDocument/2006/relationships/image" Target="media/image3.wmf"/><Relationship Id="rId4" Type="http://schemas.openxmlformats.org/officeDocument/2006/relationships/hyperlink" Target="http://192.168.16.11/mavi/mevzuatGoster.aspx?id=33441" TargetMode="External"/><Relationship Id="rId9"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Words>
  <Characters>4318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Önal YILMAZ – ASSET GÜMRÜK MÜŞAVİRLİĞİ / İSTANBUL</dc:creator>
  <cp:keywords/>
  <dc:description/>
  <cp:lastModifiedBy>Önal YILMAZ – ASSET GÜMRÜK MÜŞAVİRLİĞİ / İSTANBUL</cp:lastModifiedBy>
  <cp:revision>2</cp:revision>
  <dcterms:created xsi:type="dcterms:W3CDTF">2017-11-01T10:40:00Z</dcterms:created>
  <dcterms:modified xsi:type="dcterms:W3CDTF">2017-11-01T10:40:00Z</dcterms:modified>
</cp:coreProperties>
</file>