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F05" w14:textId="7E910344" w:rsidR="00626029" w:rsidRDefault="00626029" w:rsidP="00626029">
      <w:pPr>
        <w:rPr>
          <w:kern w:val="0"/>
          <w14:ligatures w14:val="none"/>
        </w:rPr>
      </w:pPr>
    </w:p>
    <w:tbl>
      <w:tblPr>
        <w:tblW w:w="0" w:type="auto"/>
        <w:jc w:val="center"/>
        <w:tblCellMar>
          <w:left w:w="0" w:type="dxa"/>
          <w:right w:w="0" w:type="dxa"/>
        </w:tblCellMar>
        <w:tblLook w:val="04A0" w:firstRow="1" w:lastRow="0" w:firstColumn="1" w:lastColumn="0" w:noHBand="0" w:noVBand="1"/>
      </w:tblPr>
      <w:tblGrid>
        <w:gridCol w:w="9072"/>
      </w:tblGrid>
      <w:tr w:rsidR="00626029" w:rsidRPr="00626029" w14:paraId="678EEF2B"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626029" w:rsidRPr="00626029" w14:paraId="3957FD92"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98FA597" w14:textId="77777777" w:rsidR="00626029" w:rsidRPr="00626029" w:rsidRDefault="00626029" w:rsidP="00626029">
                  <w:r w:rsidRPr="00626029">
                    <w:t>23 Mart 2026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6D051B1" w14:textId="77777777" w:rsidR="00626029" w:rsidRPr="00626029" w:rsidRDefault="00626029" w:rsidP="00626029">
                  <w:r w:rsidRPr="00626029">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10DAEA37" w14:textId="77777777" w:rsidR="00626029" w:rsidRPr="00626029" w:rsidRDefault="00626029" w:rsidP="00626029">
                  <w:r w:rsidRPr="00626029">
                    <w:t>Sayı : 33202</w:t>
                  </w:r>
                </w:p>
              </w:tc>
            </w:tr>
            <w:tr w:rsidR="00626029" w:rsidRPr="00626029" w14:paraId="5F0CEBFA" w14:textId="77777777">
              <w:trPr>
                <w:trHeight w:val="480"/>
                <w:jc w:val="center"/>
              </w:trPr>
              <w:tc>
                <w:tcPr>
                  <w:tcW w:w="8789" w:type="dxa"/>
                  <w:gridSpan w:val="3"/>
                  <w:tcMar>
                    <w:top w:w="0" w:type="dxa"/>
                    <w:left w:w="108" w:type="dxa"/>
                    <w:bottom w:w="0" w:type="dxa"/>
                    <w:right w:w="108" w:type="dxa"/>
                  </w:tcMar>
                  <w:vAlign w:val="center"/>
                  <w:hideMark/>
                </w:tcPr>
                <w:p w14:paraId="7FA7AFB7" w14:textId="77777777" w:rsidR="00626029" w:rsidRPr="00626029" w:rsidRDefault="00626029" w:rsidP="00626029">
                  <w:r w:rsidRPr="00626029">
                    <w:rPr>
                      <w:b/>
                      <w:bCs/>
                    </w:rPr>
                    <w:t>TEBLİĞ</w:t>
                  </w:r>
                </w:p>
              </w:tc>
            </w:tr>
            <w:tr w:rsidR="00626029" w:rsidRPr="00626029" w14:paraId="72E0CB40" w14:textId="77777777">
              <w:trPr>
                <w:trHeight w:val="480"/>
                <w:jc w:val="center"/>
              </w:trPr>
              <w:tc>
                <w:tcPr>
                  <w:tcW w:w="8789" w:type="dxa"/>
                  <w:gridSpan w:val="3"/>
                  <w:tcMar>
                    <w:top w:w="0" w:type="dxa"/>
                    <w:left w:w="108" w:type="dxa"/>
                    <w:bottom w:w="0" w:type="dxa"/>
                    <w:right w:w="108" w:type="dxa"/>
                  </w:tcMar>
                  <w:vAlign w:val="center"/>
                  <w:hideMark/>
                </w:tcPr>
                <w:p w14:paraId="0DC5B043" w14:textId="77777777" w:rsidR="00626029" w:rsidRPr="00626029" w:rsidRDefault="00626029" w:rsidP="00626029">
                  <w:pPr>
                    <w:rPr>
                      <w:u w:val="single"/>
                    </w:rPr>
                  </w:pPr>
                  <w:r w:rsidRPr="00626029">
                    <w:rPr>
                      <w:u w:val="single"/>
                    </w:rPr>
                    <w:t>Ticaret Bakanlığından:</w:t>
                  </w:r>
                </w:p>
                <w:p w14:paraId="7407B707" w14:textId="77777777" w:rsidR="00626029" w:rsidRPr="00626029" w:rsidRDefault="00626029" w:rsidP="00626029">
                  <w:pPr>
                    <w:rPr>
                      <w:b/>
                      <w:bCs/>
                    </w:rPr>
                  </w:pPr>
                  <w:r w:rsidRPr="00626029">
                    <w:rPr>
                      <w:b/>
                      <w:bCs/>
                    </w:rPr>
                    <w:t>İTHALATTA HAKSIZ REKABETİN ÖNLENMESİNE İLİŞKİN TEBLİĞ</w:t>
                  </w:r>
                </w:p>
                <w:p w14:paraId="67058CB0" w14:textId="77777777" w:rsidR="00626029" w:rsidRPr="00626029" w:rsidRDefault="00626029" w:rsidP="00626029">
                  <w:pPr>
                    <w:rPr>
                      <w:b/>
                      <w:bCs/>
                    </w:rPr>
                  </w:pPr>
                  <w:r w:rsidRPr="00626029">
                    <w:rPr>
                      <w:b/>
                      <w:bCs/>
                    </w:rPr>
                    <w:t>(TEBLİĞ NO: 2026/8)</w:t>
                  </w:r>
                </w:p>
                <w:p w14:paraId="5AF33399" w14:textId="77777777" w:rsidR="00626029" w:rsidRPr="00626029" w:rsidRDefault="00626029" w:rsidP="00626029">
                  <w:r w:rsidRPr="00626029">
                    <w:rPr>
                      <w:b/>
                      <w:bCs/>
                    </w:rPr>
                    <w:t>Amaç ve kapsam</w:t>
                  </w:r>
                </w:p>
                <w:p w14:paraId="3F0F517E" w14:textId="77777777" w:rsidR="00626029" w:rsidRPr="00626029" w:rsidRDefault="00626029" w:rsidP="00626029">
                  <w:r w:rsidRPr="00626029">
                    <w:rPr>
                      <w:b/>
                      <w:bCs/>
                    </w:rPr>
                    <w:t>MADDE 1-</w:t>
                  </w:r>
                  <w:r w:rsidRPr="00626029">
                    <w:t xml:space="preserve"> (1) Bu Tebliğin amacı, yerli üretici Kale Kilit ve Kalıp San. A.Ş. tarafından yapılan ve Tursan Madeni Eşya San. ve Tic. Ltd. Şti., </w:t>
                  </w:r>
                  <w:proofErr w:type="spellStart"/>
                  <w:r w:rsidRPr="00626029">
                    <w:t>Metlox</w:t>
                  </w:r>
                  <w:proofErr w:type="spellEnd"/>
                  <w:r w:rsidRPr="00626029">
                    <w:t xml:space="preserve"> Kilit San. Tic. A.Ş., Yuma Kilit ve </w:t>
                  </w:r>
                  <w:proofErr w:type="spellStart"/>
                  <w:r w:rsidRPr="00626029">
                    <w:t>Mak</w:t>
                  </w:r>
                  <w:proofErr w:type="spellEnd"/>
                  <w:r w:rsidRPr="00626029">
                    <w:t>. San. A.Ş., Er-ay Dinamo Kömürleri San. ve Tic. Ltd. Şti., Güven İş Menteşe İnş. İth. İhr. San. ve Tic. Ltd. Şti. firmaları tarafından da desteklenen başvuruya istinaden Çin Halk Cumhuriyeti menşeli 8301.40.11.00.00 gümrük tarife istatistik pozisyonu altında kayıtlı “silindirli kapı kilitleri (elektromekanik, elektromanyetik, tam elektronik olanlar hariç)”, 8301.40.19.00.11 gümrük tarife istatistik pozisyonu altında kayıtlı “soğuk hava deposuna mahsus olanlar elektromekanik, elektromanyetik, tam elektronik olanlar hariç)”, 8301.40.19.00.19 gümrük tarife istatistik pozisyonu altında kayıtlı “diğerleri (elektromekanik, elektromanyetik, tam elektronik olanlar hariç)”, 8301.60.00.00.11 gümrük tarife istatistik pozisyonu altında kayıtlı “kapı kilidi silindirleri (</w:t>
                  </w:r>
                  <w:proofErr w:type="spellStart"/>
                  <w:r w:rsidRPr="00626029">
                    <w:t>barel</w:t>
                  </w:r>
                  <w:proofErr w:type="spellEnd"/>
                  <w:r w:rsidRPr="00626029">
                    <w:t>)” ve 8301.60.00.00.19 gümrük tarife istatistik pozisyonu altında kayıtlı “yalnız kapı kilitleri için kilit kasası” ürünlerinin ithalatına yönelik yürürlükte bulunan dampinge karşı kesin önleme ilişkin olarak nihai gözden geçirme soruşturması açılması ve açılan soruşturmanın usul ve esaslarının belirlenmesidir.</w:t>
                  </w:r>
                </w:p>
                <w:p w14:paraId="49B6319B" w14:textId="77777777" w:rsidR="00626029" w:rsidRPr="00626029" w:rsidRDefault="00626029" w:rsidP="00626029">
                  <w:r w:rsidRPr="00626029">
                    <w:rPr>
                      <w:b/>
                      <w:bCs/>
                    </w:rPr>
                    <w:t>Dayanak</w:t>
                  </w:r>
                </w:p>
                <w:p w14:paraId="6D99D12F" w14:textId="77777777" w:rsidR="00626029" w:rsidRPr="00626029" w:rsidRDefault="00626029" w:rsidP="00626029">
                  <w:r w:rsidRPr="00626029">
                    <w:rPr>
                      <w:b/>
                      <w:bCs/>
                    </w:rPr>
                    <w:t>MADDE 2-</w:t>
                  </w:r>
                  <w:r w:rsidRPr="00626029">
                    <w:t xml:space="preserve"> (1)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626029">
                    <w:t>Gazete’de</w:t>
                  </w:r>
                  <w:proofErr w:type="spellEnd"/>
                  <w:r w:rsidRPr="00626029">
                    <w:t xml:space="preserve"> yayımlanan İthalatta Haksız Rekabetin Önlenmesi Hakkında Yönetmeliğe dayanılarak hazırlanmıştır.</w:t>
                  </w:r>
                </w:p>
                <w:p w14:paraId="40FAFC06" w14:textId="77777777" w:rsidR="00626029" w:rsidRPr="00626029" w:rsidRDefault="00626029" w:rsidP="00626029">
                  <w:r w:rsidRPr="00626029">
                    <w:rPr>
                      <w:b/>
                      <w:bCs/>
                    </w:rPr>
                    <w:t>Tanımlar</w:t>
                  </w:r>
                </w:p>
                <w:p w14:paraId="77A34712" w14:textId="77777777" w:rsidR="00626029" w:rsidRPr="00626029" w:rsidRDefault="00626029" w:rsidP="00626029">
                  <w:r w:rsidRPr="00626029">
                    <w:rPr>
                      <w:b/>
                      <w:bCs/>
                    </w:rPr>
                    <w:t>MADDE 3-</w:t>
                  </w:r>
                  <w:r w:rsidRPr="00626029">
                    <w:t> (1) Bu Tebliğde geçen;</w:t>
                  </w:r>
                </w:p>
                <w:p w14:paraId="4DEA7606" w14:textId="77777777" w:rsidR="00626029" w:rsidRPr="00626029" w:rsidRDefault="00626029" w:rsidP="00626029">
                  <w:r w:rsidRPr="00626029">
                    <w:t>a) Bakanlık: Ticaret Bakanlığını,</w:t>
                  </w:r>
                </w:p>
                <w:p w14:paraId="36BEA104" w14:textId="77777777" w:rsidR="00626029" w:rsidRPr="00626029" w:rsidRDefault="00626029" w:rsidP="00626029">
                  <w:r w:rsidRPr="00626029">
                    <w:t>b) ÇHC: Çin Halk Cumhuriyeti’ni,</w:t>
                  </w:r>
                </w:p>
                <w:p w14:paraId="4A33F251" w14:textId="77777777" w:rsidR="00626029" w:rsidRPr="00626029" w:rsidRDefault="00626029" w:rsidP="00626029">
                  <w:r w:rsidRPr="00626029">
                    <w:t>c) EBYS: Elektronik belge yönetim sistemini,</w:t>
                  </w:r>
                </w:p>
                <w:p w14:paraId="45E3DB6D" w14:textId="77777777" w:rsidR="00626029" w:rsidRPr="00626029" w:rsidRDefault="00626029" w:rsidP="00626029">
                  <w:proofErr w:type="gramStart"/>
                  <w:r w:rsidRPr="00626029">
                    <w:t>ç</w:t>
                  </w:r>
                  <w:proofErr w:type="gramEnd"/>
                  <w:r w:rsidRPr="00626029">
                    <w:t>) Genel Müdürlük: Bakanlık İthalat Genel Müdürlüğünü,</w:t>
                  </w:r>
                </w:p>
                <w:p w14:paraId="5165C1CF" w14:textId="77777777" w:rsidR="00626029" w:rsidRPr="00626029" w:rsidRDefault="00626029" w:rsidP="00626029">
                  <w:r w:rsidRPr="00626029">
                    <w:t>d) GTİP: Gümrük tarife istatistik pozisyonunu,</w:t>
                  </w:r>
                </w:p>
                <w:p w14:paraId="47C8FA8A" w14:textId="77777777" w:rsidR="00626029" w:rsidRPr="00626029" w:rsidRDefault="00626029" w:rsidP="00626029">
                  <w:r w:rsidRPr="00626029">
                    <w:t>e) KEP: Kayıtlı elektronik posta adresini,</w:t>
                  </w:r>
                </w:p>
                <w:p w14:paraId="04405FE5" w14:textId="77777777" w:rsidR="00626029" w:rsidRPr="00626029" w:rsidRDefault="00626029" w:rsidP="00626029">
                  <w:r w:rsidRPr="00626029">
                    <w:t>f) NGGS: Nihai gözden geçirme soruşturmasını,</w:t>
                  </w:r>
                </w:p>
                <w:p w14:paraId="34AB8CEA" w14:textId="77777777" w:rsidR="00626029" w:rsidRPr="00626029" w:rsidRDefault="00626029" w:rsidP="00626029">
                  <w:r w:rsidRPr="00626029">
                    <w:lastRenderedPageBreak/>
                    <w:t>g) TGTC: İstatistik Pozisyonlarına Bölünmüş Türk Gümrük Tarife Cetvelini,</w:t>
                  </w:r>
                </w:p>
                <w:p w14:paraId="3449B3BE" w14:textId="77777777" w:rsidR="00626029" w:rsidRPr="00626029" w:rsidRDefault="00626029" w:rsidP="00626029">
                  <w:proofErr w:type="gramStart"/>
                  <w:r w:rsidRPr="00626029">
                    <w:t>ğ</w:t>
                  </w:r>
                  <w:proofErr w:type="gramEnd"/>
                  <w:r w:rsidRPr="00626029">
                    <w:t xml:space="preserve">) Yönetmelik: 30/10/1999 tarihli ve 23861 sayılı Resmî </w:t>
                  </w:r>
                  <w:proofErr w:type="spellStart"/>
                  <w:r w:rsidRPr="00626029">
                    <w:t>Gazete’de</w:t>
                  </w:r>
                  <w:proofErr w:type="spellEnd"/>
                  <w:r w:rsidRPr="00626029">
                    <w:t xml:space="preserve"> yayımlanan İthalatta Haksız Rekabetin Önlenmesi Hakkında Yönetmeliği,</w:t>
                  </w:r>
                </w:p>
                <w:p w14:paraId="0A81457C" w14:textId="77777777" w:rsidR="00626029" w:rsidRPr="00626029" w:rsidRDefault="00626029" w:rsidP="00626029">
                  <w:proofErr w:type="gramStart"/>
                  <w:r w:rsidRPr="00626029">
                    <w:t>ifade</w:t>
                  </w:r>
                  <w:proofErr w:type="gramEnd"/>
                  <w:r w:rsidRPr="00626029">
                    <w:t xml:space="preserve"> eder.</w:t>
                  </w:r>
                </w:p>
                <w:p w14:paraId="1C536823" w14:textId="77777777" w:rsidR="00626029" w:rsidRPr="00626029" w:rsidRDefault="00626029" w:rsidP="00626029">
                  <w:r w:rsidRPr="00626029">
                    <w:rPr>
                      <w:b/>
                      <w:bCs/>
                    </w:rPr>
                    <w:t>Soruşturma konusu ürün</w:t>
                  </w:r>
                </w:p>
                <w:p w14:paraId="46CEC222" w14:textId="77777777" w:rsidR="00626029" w:rsidRPr="00626029" w:rsidRDefault="00626029" w:rsidP="00626029">
                  <w:r w:rsidRPr="00626029">
                    <w:rPr>
                      <w:b/>
                      <w:bCs/>
                    </w:rPr>
                    <w:t>MADDE 4-</w:t>
                  </w:r>
                  <w:r w:rsidRPr="00626029">
                    <w:t xml:space="preserve"> (1) Soruşturma konusu ürün, 8301.40.11.00.00 </w:t>
                  </w:r>
                  <w:proofErr w:type="spellStart"/>
                  <w:r w:rsidRPr="00626029">
                    <w:t>GTİP’i</w:t>
                  </w:r>
                  <w:proofErr w:type="spellEnd"/>
                  <w:r w:rsidRPr="00626029">
                    <w:t xml:space="preserve"> altında kayıtlı “silindirli kapı kilitleri (elektromekanik, elektromanyetik, tam elektronik olanlar hariç)”, 8301.40.19.00.11 </w:t>
                  </w:r>
                  <w:proofErr w:type="spellStart"/>
                  <w:r w:rsidRPr="00626029">
                    <w:t>GTİP’i</w:t>
                  </w:r>
                  <w:proofErr w:type="spellEnd"/>
                  <w:r w:rsidRPr="00626029">
                    <w:t xml:space="preserve"> altında kayıtlı “soğuk hava deposuna mahsus olanlar elektromekanik, elektromanyetik, tam elektronik olanlar hariç)”, 8301.40.19.00.19 </w:t>
                  </w:r>
                  <w:proofErr w:type="spellStart"/>
                  <w:r w:rsidRPr="00626029">
                    <w:t>GTİP’i</w:t>
                  </w:r>
                  <w:proofErr w:type="spellEnd"/>
                  <w:r w:rsidRPr="00626029">
                    <w:t xml:space="preserve"> altında kayıtlı “diğerleri (elektromekanik, elektromanyetik, tam elektronik olanlar hariç)”, 8301.60.00.00.11 </w:t>
                  </w:r>
                  <w:proofErr w:type="spellStart"/>
                  <w:r w:rsidRPr="00626029">
                    <w:t>GTİP’i</w:t>
                  </w:r>
                  <w:proofErr w:type="spellEnd"/>
                  <w:r w:rsidRPr="00626029">
                    <w:t xml:space="preserve"> altında kayıtlı “kapı kilidi silindirleri (</w:t>
                  </w:r>
                  <w:proofErr w:type="spellStart"/>
                  <w:r w:rsidRPr="00626029">
                    <w:t>barel</w:t>
                  </w:r>
                  <w:proofErr w:type="spellEnd"/>
                  <w:r w:rsidRPr="00626029">
                    <w:t xml:space="preserve">)” ve 8301.60.00.00.19 </w:t>
                  </w:r>
                  <w:proofErr w:type="spellStart"/>
                  <w:r w:rsidRPr="00626029">
                    <w:t>GTİP’i</w:t>
                  </w:r>
                  <w:proofErr w:type="spellEnd"/>
                  <w:r w:rsidRPr="00626029">
                    <w:t xml:space="preserve"> altında kayıtlı “yalnız kapı kilitleri için kilit </w:t>
                  </w:r>
                  <w:proofErr w:type="spellStart"/>
                  <w:r w:rsidRPr="00626029">
                    <w:t>kasası”dır</w:t>
                  </w:r>
                  <w:proofErr w:type="spellEnd"/>
                  <w:r w:rsidRPr="00626029">
                    <w:t>.</w:t>
                  </w:r>
                </w:p>
                <w:p w14:paraId="04FA6DC5" w14:textId="77777777" w:rsidR="00626029" w:rsidRPr="00626029" w:rsidRDefault="00626029" w:rsidP="00626029">
                  <w:r w:rsidRPr="00626029">
                    <w:t xml:space="preserve">(2) Bahse konu </w:t>
                  </w:r>
                  <w:proofErr w:type="spellStart"/>
                  <w:r w:rsidRPr="00626029">
                    <w:t>GTİP’ler</w:t>
                  </w:r>
                  <w:proofErr w:type="spellEnd"/>
                  <w:r w:rsidRPr="00626029">
                    <w:t>, yalnızca bilgi amaçlı verilmiş olup bağlayıcı mahiyette değildir.</w:t>
                  </w:r>
                </w:p>
                <w:p w14:paraId="1651C2C2" w14:textId="77777777" w:rsidR="00626029" w:rsidRPr="00626029" w:rsidRDefault="00626029" w:rsidP="00626029">
                  <w:r w:rsidRPr="00626029">
                    <w:t xml:space="preserve">(3) Soruşturma konusu ürünün </w:t>
                  </w:r>
                  <w:proofErr w:type="spellStart"/>
                  <w:r w:rsidRPr="00626029">
                    <w:t>TGTC’de</w:t>
                  </w:r>
                  <w:proofErr w:type="spellEnd"/>
                  <w:r w:rsidRPr="00626029">
                    <w:t xml:space="preserve"> yer alan tarife pozisyonunda ve/veya eşya tanımında yapılacak değişiklikler, bu Tebliğ hükümlerinin uygulanmasına engel teşkil etmez.</w:t>
                  </w:r>
                </w:p>
                <w:p w14:paraId="59A95C0D" w14:textId="77777777" w:rsidR="00626029" w:rsidRPr="00626029" w:rsidRDefault="00626029" w:rsidP="00626029">
                  <w:r w:rsidRPr="00626029">
                    <w:rPr>
                      <w:b/>
                      <w:bCs/>
                    </w:rPr>
                    <w:t>Başvurunun temsil niteliği</w:t>
                  </w:r>
                </w:p>
                <w:p w14:paraId="513D34D1" w14:textId="77777777" w:rsidR="00626029" w:rsidRPr="00626029" w:rsidRDefault="00626029" w:rsidP="00626029">
                  <w:r w:rsidRPr="00626029">
                    <w:rPr>
                      <w:b/>
                      <w:bCs/>
                    </w:rPr>
                    <w:t>MADDE 5-</w:t>
                  </w:r>
                  <w:r w:rsidRPr="00626029">
                    <w:t xml:space="preserve"> (1) Başvuru aşamasında sunulan delillerden, Yönetmeliğin 18 inci maddesi çerçevesinde yerli üretim dalını temsil niteliğini haiz olduğu anlaşılan yerli üretici Kale Kilit ve Kalıp San. A.Ş. tarafından yapılan başvurunun Yönetmeliğin </w:t>
                  </w:r>
                  <w:proofErr w:type="gramStart"/>
                  <w:r w:rsidRPr="00626029">
                    <w:t>20 nci</w:t>
                  </w:r>
                  <w:proofErr w:type="gramEnd"/>
                  <w:r w:rsidRPr="00626029">
                    <w:t xml:space="preserve"> maddesi uyarınca yerli üretim dalı adına yapıldığı anlaşılmıştır. Bu kapsamda, söz konusu firma bu Tebliğin ilgili bölümlerinde “yerli üretim dalı” olarak anılacaktır.</w:t>
                  </w:r>
                </w:p>
                <w:p w14:paraId="34200474" w14:textId="77777777" w:rsidR="00626029" w:rsidRPr="00626029" w:rsidRDefault="00626029" w:rsidP="00626029">
                  <w:r w:rsidRPr="00626029">
                    <w:rPr>
                      <w:b/>
                      <w:bCs/>
                    </w:rPr>
                    <w:t>Mevcut önlem</w:t>
                  </w:r>
                </w:p>
                <w:p w14:paraId="4B579767" w14:textId="77777777" w:rsidR="00626029" w:rsidRPr="00626029" w:rsidRDefault="00626029" w:rsidP="00626029">
                  <w:r w:rsidRPr="00626029">
                    <w:rPr>
                      <w:b/>
                      <w:bCs/>
                    </w:rPr>
                    <w:t>MADDE 6-</w:t>
                  </w:r>
                  <w:r w:rsidRPr="00626029">
                    <w:t xml:space="preserve"> (1) 31/7/2003 tarihli ve 25185 sayılı Resmî </w:t>
                  </w:r>
                  <w:proofErr w:type="spellStart"/>
                  <w:r w:rsidRPr="00626029">
                    <w:t>Gazete’de</w:t>
                  </w:r>
                  <w:proofErr w:type="spellEnd"/>
                  <w:r w:rsidRPr="00626029">
                    <w:t xml:space="preserve"> yayımlanan İthalatta Haksız Rekabetin Önlenmesine İlişkin Tebliğ (Tebliğ No: 2003/16) ile ÇHC menşeli “topuzlu kapı kilidi (elektromekanik olanlar hariç)” için 1,60 ABD </w:t>
                  </w:r>
                  <w:proofErr w:type="gramStart"/>
                  <w:r w:rsidRPr="00626029">
                    <w:t>Doları</w:t>
                  </w:r>
                  <w:proofErr w:type="gramEnd"/>
                  <w:r w:rsidRPr="00626029">
                    <w:t xml:space="preserve">/Adet, “diğer kapı kilitleri (elektromekanik olanlar hariç)” için 1,77 ABD </w:t>
                  </w:r>
                  <w:proofErr w:type="gramStart"/>
                  <w:r w:rsidRPr="00626029">
                    <w:t>Doları</w:t>
                  </w:r>
                  <w:proofErr w:type="gramEnd"/>
                  <w:r w:rsidRPr="00626029">
                    <w:t xml:space="preserve">/Adet, “yalnız kapı kilitleri için silindir – </w:t>
                  </w:r>
                  <w:proofErr w:type="spellStart"/>
                  <w:r w:rsidRPr="00626029">
                    <w:t>bareller</w:t>
                  </w:r>
                  <w:proofErr w:type="spellEnd"/>
                  <w:r w:rsidRPr="00626029">
                    <w:t xml:space="preserve"> ile kilit kasası” için 0,74 ABD </w:t>
                  </w:r>
                  <w:proofErr w:type="gramStart"/>
                  <w:r w:rsidRPr="00626029">
                    <w:t>Doları</w:t>
                  </w:r>
                  <w:proofErr w:type="gramEnd"/>
                  <w:r w:rsidRPr="00626029">
                    <w:t>/Adet tutarında dampinge karşı kesin önlem yürürlüğe konulmuştur.</w:t>
                  </w:r>
                </w:p>
                <w:p w14:paraId="7A582C45" w14:textId="77777777" w:rsidR="00626029" w:rsidRPr="00626029" w:rsidRDefault="00626029" w:rsidP="00626029">
                  <w:r w:rsidRPr="00626029">
                    <w:t xml:space="preserve">(2) Söz konusu önlem, tamamlanan ilk NGGS neticesinde, 30/7/2009 tarihli ve 27304 sayılı Resmî </w:t>
                  </w:r>
                  <w:proofErr w:type="spellStart"/>
                  <w:r w:rsidRPr="00626029">
                    <w:t>Gazete’de</w:t>
                  </w:r>
                  <w:proofErr w:type="spellEnd"/>
                  <w:r w:rsidRPr="00626029">
                    <w:t xml:space="preserve"> yayımlanan İthalatta Haksız Rekabetin Önlenmesine İlişkin Tebliğ (Tebliğ No: 2009/21) ile aynı tutarlarda devam ettirilmiştir.</w:t>
                  </w:r>
                </w:p>
                <w:p w14:paraId="23A75BD0" w14:textId="77777777" w:rsidR="00626029" w:rsidRPr="00626029" w:rsidRDefault="00626029" w:rsidP="00626029">
                  <w:r w:rsidRPr="00626029">
                    <w:t xml:space="preserve">(3) Bahse konu önlem, tamamlanan ikinci NGGS neticesinde, 16/7/2015 tarihli ve 29418 sayılı Resmî </w:t>
                  </w:r>
                  <w:proofErr w:type="spellStart"/>
                  <w:r w:rsidRPr="00626029">
                    <w:t>Gazete’de</w:t>
                  </w:r>
                  <w:proofErr w:type="spellEnd"/>
                  <w:r w:rsidRPr="00626029">
                    <w:t xml:space="preserve"> yayımlanan İthalatta Haksız Rekabetin Önlenmesine İlişkin Tebliğ (Tebliğ No: 2015/30) ile ÇHC menşeli önleme tabi ürünlere yönelik 4 ABD </w:t>
                  </w:r>
                  <w:proofErr w:type="gramStart"/>
                  <w:r w:rsidRPr="00626029">
                    <w:t>Doları</w:t>
                  </w:r>
                  <w:proofErr w:type="gramEnd"/>
                  <w:r w:rsidRPr="00626029">
                    <w:t>/kg olarak değiştirilerek devam ettirilmiştir.</w:t>
                  </w:r>
                </w:p>
                <w:p w14:paraId="667A0111" w14:textId="77777777" w:rsidR="00626029" w:rsidRPr="00626029" w:rsidRDefault="00626029" w:rsidP="00626029">
                  <w:r w:rsidRPr="00626029">
                    <w:t xml:space="preserve">(4) Son olarak, 27/3/2021 tarihli ve 31426 sayılı Resmî </w:t>
                  </w:r>
                  <w:proofErr w:type="spellStart"/>
                  <w:r w:rsidRPr="00626029">
                    <w:t>Gazete’de</w:t>
                  </w:r>
                  <w:proofErr w:type="spellEnd"/>
                  <w:r w:rsidRPr="00626029">
                    <w:t xml:space="preserve"> yayımlanan İthalatta Haksız Rekabetin Önlenmesine İlişkin Tebliğ (Tebliğ No: 2021/9) ile sonuçlanan üçüncü NGGS neticesinde, mezkûr ülke menşeli 8301.40.11.00.00 GTİP altında kayıtlı “silindirli kapı kilitleri (elektromekanik, elektromanyetik, tam elektronik olanlar hariç)”, 8301.40.19.00.11 GTİP altında kayıtlı “soğuk hava deposuna mahsus olanlar (elektromekanik, elektromanyetik, tam elektronik olanlar hariç)”, 8301.40.19.00.19 GTİP altında kayıtlı “diğerleri (elektromekanik, elektromanyetik, tam elektronik olanlar hariç)”, 8301.60.00.00.11 GTİP altında kayıtlı “kapı kilidi silindirleri (</w:t>
                  </w:r>
                  <w:proofErr w:type="spellStart"/>
                  <w:r w:rsidRPr="00626029">
                    <w:t>barel</w:t>
                  </w:r>
                  <w:proofErr w:type="spellEnd"/>
                  <w:r w:rsidRPr="00626029">
                    <w:t>)” ve 8301.60.00.00.19 GTİP altında kayıtlı “yalnız kapı kilitleri için kilit kasası” ürünleri ithalatına yönelik olarak uygulanan dampinge karşı önlemler aynı şekilde devam ettirilmiştir.</w:t>
                  </w:r>
                </w:p>
                <w:p w14:paraId="7187E674" w14:textId="77777777" w:rsidR="00626029" w:rsidRPr="00626029" w:rsidRDefault="00626029" w:rsidP="00626029">
                  <w:r w:rsidRPr="00626029">
                    <w:rPr>
                      <w:b/>
                      <w:bCs/>
                    </w:rPr>
                    <w:t>Gerekçe</w:t>
                  </w:r>
                </w:p>
                <w:p w14:paraId="05A0E4F5" w14:textId="77777777" w:rsidR="00626029" w:rsidRPr="00626029" w:rsidRDefault="00626029" w:rsidP="00626029">
                  <w:r w:rsidRPr="00626029">
                    <w:rPr>
                      <w:b/>
                      <w:bCs/>
                    </w:rPr>
                    <w:t>MADDE 7-</w:t>
                  </w:r>
                  <w:r w:rsidRPr="00626029">
                    <w:t xml:space="preserve"> (1) Yönetmeliğin 35 inci maddesinin ikinci fıkrası hükmünce 16/7/2025 tarihli ve 32957 sayılı Resmî </w:t>
                  </w:r>
                  <w:proofErr w:type="spellStart"/>
                  <w:r w:rsidRPr="00626029">
                    <w:t>Gazete’de</w:t>
                  </w:r>
                  <w:proofErr w:type="spellEnd"/>
                  <w:r w:rsidRPr="00626029">
                    <w:t xml:space="preserve"> yayımlanan İthalatta Haksız Rekabetin Önlenmesine İlişkin Tebliğ (Tebliğ No: 2025/15) vasıtasıyla mevcut önlemin yürürlükten kalkacağı ve ilgili ürünün yerli üretici veya üreticilerinin mevzuatta öngörülen sürelerde yeterli delillerle desteklenmiş bir başvuru ile NGGS açılması talebinde bulunabilecekleri duyurulmuştur.</w:t>
                  </w:r>
                </w:p>
                <w:p w14:paraId="087C4560" w14:textId="77777777" w:rsidR="00626029" w:rsidRPr="00626029" w:rsidRDefault="00626029" w:rsidP="00626029">
                  <w:r w:rsidRPr="00626029">
                    <w:t>(2) Mezkûr ilanı müteakip yerli üretim dalı tarafından iletilen başvurunun incelenmesi neticesinde, uygulanan dampinge karşı önlemin yürürlükten kalkması halinde dampingin ve zararın devam etmesi veya yeniden meydana gelmesinin muhtemel olduğuna ilişkin olarak bir NGGS açılmasını haklı kılacak bilgi, belge ve delillerin mevcut olduğu anlaşılmıştır.</w:t>
                  </w:r>
                </w:p>
                <w:p w14:paraId="227E3A76" w14:textId="77777777" w:rsidR="00626029" w:rsidRPr="00626029" w:rsidRDefault="00626029" w:rsidP="00626029">
                  <w:r w:rsidRPr="00626029">
                    <w:rPr>
                      <w:b/>
                      <w:bCs/>
                    </w:rPr>
                    <w:t>Karar ve işlemler</w:t>
                  </w:r>
                </w:p>
                <w:p w14:paraId="5F957863" w14:textId="77777777" w:rsidR="00626029" w:rsidRPr="00626029" w:rsidRDefault="00626029" w:rsidP="00626029">
                  <w:r w:rsidRPr="00626029">
                    <w:rPr>
                      <w:b/>
                      <w:bCs/>
                    </w:rPr>
                    <w:t>MADDE 8- </w:t>
                  </w:r>
                  <w:r w:rsidRPr="00626029">
                    <w:t xml:space="preserve">(1) Yapılan inceleme sonucunda, bir NGGS açılabilmesi için yeterli bilgi, belge ve delillerin bulunduğu anlaşıldığından, İthalatta Haksız Rekabeti Değerlendirme Kurulu Kararı ile ÇHC menşeli 8301.40.11.00.00 </w:t>
                  </w:r>
                  <w:proofErr w:type="spellStart"/>
                  <w:r w:rsidRPr="00626029">
                    <w:t>GTİP’i</w:t>
                  </w:r>
                  <w:proofErr w:type="spellEnd"/>
                  <w:r w:rsidRPr="00626029">
                    <w:t xml:space="preserve"> altında kayıtlı “silindirli kapı kilitleri (elektromekanik, elektromanyetik, tam elektronik olanlar hariç)”, 8301.40.19.00.11 </w:t>
                  </w:r>
                  <w:proofErr w:type="spellStart"/>
                  <w:r w:rsidRPr="00626029">
                    <w:t>GTİP’i</w:t>
                  </w:r>
                  <w:proofErr w:type="spellEnd"/>
                  <w:r w:rsidRPr="00626029">
                    <w:t xml:space="preserve"> altında kayıtlı “soğuk hava deposuna mahsus olanlar (elektromekanik, elektromanyetik, tam elektronik olanlar hariç)”, 8301.40.19.00.19 </w:t>
                  </w:r>
                  <w:proofErr w:type="spellStart"/>
                  <w:r w:rsidRPr="00626029">
                    <w:t>GTİP’i</w:t>
                  </w:r>
                  <w:proofErr w:type="spellEnd"/>
                  <w:r w:rsidRPr="00626029">
                    <w:t xml:space="preserve"> altında kayıtlı “diğerleri (elektromekanik, elektromanyetik, tam elektronik olanlar hariç)”, 8301.60.00.00.11 </w:t>
                  </w:r>
                  <w:proofErr w:type="spellStart"/>
                  <w:r w:rsidRPr="00626029">
                    <w:t>GTİP’i</w:t>
                  </w:r>
                  <w:proofErr w:type="spellEnd"/>
                  <w:r w:rsidRPr="00626029">
                    <w:t xml:space="preserve"> altında kayıtlı “kapı kilidi silindirleri (</w:t>
                  </w:r>
                  <w:proofErr w:type="spellStart"/>
                  <w:r w:rsidRPr="00626029">
                    <w:t>barel</w:t>
                  </w:r>
                  <w:proofErr w:type="spellEnd"/>
                  <w:r w:rsidRPr="00626029">
                    <w:t xml:space="preserve">)” ve 8301.60.00.00.19 </w:t>
                  </w:r>
                  <w:proofErr w:type="spellStart"/>
                  <w:r w:rsidRPr="00626029">
                    <w:t>GTİP’i</w:t>
                  </w:r>
                  <w:proofErr w:type="spellEnd"/>
                  <w:r w:rsidRPr="00626029">
                    <w:t xml:space="preserve"> altında kayıtlı “yalnız kapı kilitleri için kilit kasası” ithalatına yönelik olarak Yönetmeliğin 35 inci maddesi çerçevesinde bir NGGS açılmasına karar verilmiştir.</w:t>
                  </w:r>
                </w:p>
                <w:p w14:paraId="04385EA9" w14:textId="77777777" w:rsidR="00626029" w:rsidRPr="00626029" w:rsidRDefault="00626029" w:rsidP="00626029">
                  <w:r w:rsidRPr="00626029">
                    <w:rPr>
                      <w:b/>
                      <w:bCs/>
                    </w:rPr>
                    <w:t>Piyasa ekonomisi değerlendirmesi</w:t>
                  </w:r>
                </w:p>
                <w:p w14:paraId="01943411" w14:textId="77777777" w:rsidR="00626029" w:rsidRPr="00626029" w:rsidRDefault="00626029" w:rsidP="00626029">
                  <w:r w:rsidRPr="00626029">
                    <w:rPr>
                      <w:b/>
                      <w:bCs/>
                    </w:rPr>
                    <w:t>MADDE 9-</w:t>
                  </w:r>
                  <w:r w:rsidRPr="00626029">
                    <w:t xml:space="preserve"> (1) </w:t>
                  </w:r>
                  <w:proofErr w:type="spellStart"/>
                  <w:r w:rsidRPr="00626029">
                    <w:t>ÇHC’de</w:t>
                  </w:r>
                  <w:proofErr w:type="spellEnd"/>
                  <w:r w:rsidRPr="00626029">
                    <w:t xml:space="preserve"> yerleşik soruşturmaya tabi üretici veya üreticilerin soruşturma konusu ürünün üretiminde ve satışında Yönetmeliğin ek 1 inci maddesinde yer alan ölçütler çerçevesinde piyasa ekonomisi koşullarının geçerli olduğunu </w:t>
                  </w:r>
                  <w:proofErr w:type="gramStart"/>
                  <w:r w:rsidRPr="00626029">
                    <w:t>12 nci</w:t>
                  </w:r>
                  <w:proofErr w:type="gramEnd"/>
                  <w:r w:rsidRPr="00626029">
                    <w:t xml:space="preserve"> maddede belirtilen süreler içinde yeterli deliller ile ispat etmesi durumunda bu üretici veya üreticiler için normal değerin tespitinde Yönetmeliğin 5 inci maddesi, aksi takdirde Yönetmeliğin </w:t>
                  </w:r>
                  <w:proofErr w:type="gramStart"/>
                  <w:r w:rsidRPr="00626029">
                    <w:t>7 nci</w:t>
                  </w:r>
                  <w:proofErr w:type="gramEnd"/>
                  <w:r w:rsidRPr="00626029">
                    <w:t xml:space="preserve"> maddesi hükümleri uygulanır. Yönetmeliğin </w:t>
                  </w:r>
                  <w:proofErr w:type="gramStart"/>
                  <w:r w:rsidRPr="00626029">
                    <w:t>7 nci</w:t>
                  </w:r>
                  <w:proofErr w:type="gramEnd"/>
                  <w:r w:rsidRPr="00626029">
                    <w:t xml:space="preserve"> maddesi hükümlerinin tatbiki halinde adı geçen ülke için piyasa ekonomisi uygulayan emsal ülke olarak Türkiye’nin seçilmesi öngörülür.</w:t>
                  </w:r>
                </w:p>
                <w:p w14:paraId="2D9E2C45" w14:textId="77777777" w:rsidR="00626029" w:rsidRPr="00626029" w:rsidRDefault="00626029" w:rsidP="00626029">
                  <w:r w:rsidRPr="00626029">
                    <w:rPr>
                      <w:b/>
                      <w:bCs/>
                    </w:rPr>
                    <w:t>İlgili taraflara soruşturma açılışının bildirilmesi</w:t>
                  </w:r>
                </w:p>
                <w:p w14:paraId="28152078" w14:textId="77777777" w:rsidR="00626029" w:rsidRPr="00626029" w:rsidRDefault="00626029" w:rsidP="00626029">
                  <w:r w:rsidRPr="00626029">
                    <w:rPr>
                      <w:b/>
                      <w:bCs/>
                    </w:rPr>
                    <w:t>MADDE 10-</w:t>
                  </w:r>
                  <w:r w:rsidRPr="00626029">
                    <w:t xml:space="preserve"> (1) Yönetmeliğin </w:t>
                  </w:r>
                  <w:proofErr w:type="gramStart"/>
                  <w:r w:rsidRPr="00626029">
                    <w:t>23 üncü</w:t>
                  </w:r>
                  <w:proofErr w:type="gramEnd"/>
                  <w:r w:rsidRPr="00626029">
                    <w:t xml:space="preserve">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w:t>
                  </w:r>
                  <w:proofErr w:type="gramStart"/>
                  <w:r w:rsidRPr="00626029">
                    <w:t>12 nci</w:t>
                  </w:r>
                  <w:proofErr w:type="gramEnd"/>
                  <w:r w:rsidRPr="00626029">
                    <w:t xml:space="preserve"> maddede belirtilen süreler içinde soru formlarını cevaplamak veya görüşlerini sunmak suretiyle kendilerini yetkili mercie bildirenler soruşturmada ilgili taraf olarak dikkate alınır.</w:t>
                  </w:r>
                </w:p>
                <w:p w14:paraId="4D8B72EC" w14:textId="77777777" w:rsidR="00626029" w:rsidRPr="00626029" w:rsidRDefault="00626029" w:rsidP="00626029">
                  <w:r w:rsidRPr="00626029">
                    <w:t>(2) Soruşturma açılmasını müteakip, soruşturma konusu ülkede yerleşik bilinen üretici/ihracatçılara, soruşturma konusu ülkenin Ankara’daki büyükelçiliği ile başvuruda belirtilen ve Bakanlıkça tespit edilen soruşturma konusu ürünün bilinen ithalatçılarına soruşturmanın açılışına ilişkin bildirimde bulunulur.</w:t>
                  </w:r>
                </w:p>
                <w:p w14:paraId="79C4A953" w14:textId="77777777" w:rsidR="00626029" w:rsidRPr="00626029" w:rsidRDefault="00626029" w:rsidP="00626029">
                  <w:r w:rsidRPr="00626029">
                    <w:t>(3) Bildirimde, soruşturma açılış Tebliği, başvurunun gizli olmayan özeti ve soru formlarına erişim hususunda bilgiye yer verilir.</w:t>
                  </w:r>
                </w:p>
                <w:p w14:paraId="08A0D8BB" w14:textId="77777777" w:rsidR="00626029" w:rsidRPr="00626029" w:rsidRDefault="00626029" w:rsidP="00626029">
                  <w:r w:rsidRPr="00626029">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 </w:t>
                  </w:r>
                </w:p>
                <w:p w14:paraId="1DA72FEA" w14:textId="77777777" w:rsidR="00626029" w:rsidRPr="00626029" w:rsidRDefault="00626029" w:rsidP="00626029">
                  <w:r w:rsidRPr="00626029">
                    <w:rPr>
                      <w:b/>
                      <w:bCs/>
                    </w:rPr>
                    <w:t>Yetkili merci, ilgili tarafların görüş ve cevaplarını sunmaları</w:t>
                  </w:r>
                </w:p>
                <w:p w14:paraId="31E5DD67" w14:textId="77777777" w:rsidR="00626029" w:rsidRPr="00626029" w:rsidRDefault="00626029" w:rsidP="00626029">
                  <w:r w:rsidRPr="00626029">
                    <w:rPr>
                      <w:b/>
                      <w:bCs/>
                    </w:rPr>
                    <w:t>MADDE 11-</w:t>
                  </w:r>
                  <w:r w:rsidRPr="00626029">
                    <w:t> (1) Soruşturma, aşağıda iletişim bilgileri yer alan Genel Müdürlük tarafından yürütülür.</w:t>
                  </w:r>
                </w:p>
                <w:p w14:paraId="5A6B9780" w14:textId="77777777" w:rsidR="00626029" w:rsidRPr="00626029" w:rsidRDefault="00626029" w:rsidP="00626029">
                  <w:r w:rsidRPr="00626029">
                    <w:t>T. C. Ticaret Bakanlığı</w:t>
                  </w:r>
                </w:p>
                <w:p w14:paraId="6C9FF698" w14:textId="77777777" w:rsidR="00626029" w:rsidRPr="00626029" w:rsidRDefault="00626029" w:rsidP="00626029">
                  <w:r w:rsidRPr="00626029">
                    <w:t>İthalat Genel Müdürlüğü</w:t>
                  </w:r>
                </w:p>
                <w:p w14:paraId="4FC4110A" w14:textId="77777777" w:rsidR="00626029" w:rsidRPr="00626029" w:rsidRDefault="00626029" w:rsidP="00626029">
                  <w:r w:rsidRPr="00626029">
                    <w:t>Damping ve Sübvansiyon Dairesi</w:t>
                  </w:r>
                </w:p>
                <w:p w14:paraId="2FCE9529" w14:textId="77777777" w:rsidR="00626029" w:rsidRPr="00626029" w:rsidRDefault="00626029" w:rsidP="00626029">
                  <w:r w:rsidRPr="00626029">
                    <w:t xml:space="preserve">Adres: Söğütözü Mah. Nizami </w:t>
                  </w:r>
                  <w:proofErr w:type="spellStart"/>
                  <w:r w:rsidRPr="00626029">
                    <w:t>Gencevi</w:t>
                  </w:r>
                  <w:proofErr w:type="spellEnd"/>
                  <w:r w:rsidRPr="00626029">
                    <w:t xml:space="preserve"> Caddesi No:63/1 06530 Çankaya/ANKARA</w:t>
                  </w:r>
                </w:p>
                <w:p w14:paraId="233D0848" w14:textId="77777777" w:rsidR="00626029" w:rsidRPr="00626029" w:rsidRDefault="00626029" w:rsidP="00626029">
                  <w:r w:rsidRPr="00626029">
                    <w:t>Tel: +90 312 204 75 00</w:t>
                  </w:r>
                </w:p>
                <w:p w14:paraId="77738972" w14:textId="77777777" w:rsidR="00626029" w:rsidRPr="00626029" w:rsidRDefault="00626029" w:rsidP="00626029">
                  <w:r w:rsidRPr="00626029">
                    <w:t>(2) Soruşturmada “Türkiye’de yerleşik firma, kurum ve kuruluşlar”, soru formlarına cevapları ile resmî görüşlerini kendilerine ait KEP adreslerinden Bakanlığın aşağıda yer alan KEP adresine gönderir.</w:t>
                  </w:r>
                </w:p>
                <w:p w14:paraId="266CCBB5" w14:textId="77777777" w:rsidR="00626029" w:rsidRPr="00626029" w:rsidRDefault="00626029" w:rsidP="00626029">
                  <w:r w:rsidRPr="00626029">
                    <w:t>KEP adresi: </w:t>
                  </w:r>
                  <w:r w:rsidRPr="00626029">
                    <w:rPr>
                      <w:u w:val="single"/>
                    </w:rPr>
                    <w:t>ticaretbakanligi@hs01.kep.tr</w:t>
                  </w:r>
                </w:p>
                <w:p w14:paraId="36CFAACF" w14:textId="77777777" w:rsidR="00626029" w:rsidRPr="00626029" w:rsidRDefault="00626029" w:rsidP="00626029">
                  <w:r w:rsidRPr="00626029">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e-posta adresine gönderilir.</w:t>
                  </w:r>
                </w:p>
                <w:p w14:paraId="57D888AF" w14:textId="77777777" w:rsidR="00626029" w:rsidRPr="00626029" w:rsidRDefault="00626029" w:rsidP="00626029">
                  <w:r w:rsidRPr="00626029">
                    <w:t>EBYS e-posta adresi: </w:t>
                  </w:r>
                  <w:r w:rsidRPr="00626029">
                    <w:rPr>
                      <w:u w:val="single"/>
                    </w:rPr>
                    <w:t>ithebys@ticaret.gov.tr</w:t>
                  </w:r>
                </w:p>
                <w:p w14:paraId="29009856" w14:textId="77777777" w:rsidR="00626029" w:rsidRPr="00626029" w:rsidRDefault="00626029" w:rsidP="00626029">
                  <w:r w:rsidRPr="00626029">
                    <w:t xml:space="preserve">(4) Soruşturma kapsamında yurt dışında yerleşik firma, kurum ya da kuruluşların soru formu cevaplarını bir yasal temsilci vasıtasıyla Bakanlığa iletmeleri durumunda, ilgili firma, kurum ya da kuruluşların anılan yasal temsilci adına resmî bir vekaletname (yetki belgesi) düzenlemesi gerekmektedir. Düzenlenecek vekaletnamenin soru formu cevaplarını ileten yurt dışında yerleşik firma, kurum ya da kuruluşun imza yetkilisi tarafından imzalanmış olması; Türkçe veya İngilizce tercümesinin sunulması, Yabancı </w:t>
                  </w:r>
                  <w:proofErr w:type="gramStart"/>
                  <w:r w:rsidRPr="00626029">
                    <w:t>Resmi</w:t>
                  </w:r>
                  <w:proofErr w:type="gramEnd"/>
                  <w:r w:rsidRPr="00626029">
                    <w:t xml:space="preserve"> Belgelerin Tasdiki Mecburiyetinin Kaldırılması Sözleşmesine uygun olarak “</w:t>
                  </w:r>
                  <w:proofErr w:type="spellStart"/>
                  <w:r w:rsidRPr="00626029">
                    <w:t>apostil</w:t>
                  </w:r>
                  <w:proofErr w:type="spellEnd"/>
                  <w:r w:rsidRPr="00626029">
                    <w:t xml:space="preserve"> tasdik şerhi” taşıması, </w:t>
                  </w:r>
                  <w:proofErr w:type="spellStart"/>
                  <w:r w:rsidRPr="00626029">
                    <w:t>apostil</w:t>
                  </w:r>
                  <w:proofErr w:type="spellEnd"/>
                  <w:r w:rsidRPr="00626029">
                    <w:t xml:space="preserve"> tasdik şerhi bulunmaması halinde o ülkedeki Türk Konsolosluğunun tasdikini içermesi gerekmektedir.</w:t>
                  </w:r>
                </w:p>
                <w:p w14:paraId="16E0F143" w14:textId="77777777" w:rsidR="00626029" w:rsidRPr="00626029" w:rsidRDefault="00626029" w:rsidP="00626029">
                  <w:r w:rsidRPr="00626029">
                    <w:t>(5) Soruşturmaya ilişkin yazılı ve sözlü iletişim Türkçe yapılır. Soru formuna yanıtlar hariç olmak üzere, Türkçe dışında bir dilde sunulan hiçbir bilgi, belge, görüş ve talep dikkate alınmaz.</w:t>
                  </w:r>
                </w:p>
                <w:p w14:paraId="4E945EE5" w14:textId="77777777" w:rsidR="00626029" w:rsidRPr="00626029" w:rsidRDefault="00626029" w:rsidP="00626029">
                  <w:r w:rsidRPr="00626029">
                    <w:t>(6) İlgili taraflarca soru formuna verilen cevaplar, soruşturmayla ilgili sunulan diğer bilgi, belge, görüş ve destekleyici deliller aksi belirtilmedikçe yazılı olarak sunulur. Yazılı sunumlarda ilgili tarafların isim ve unvanı, adres bilgileri, elektronik posta adresi, telefon numaraları belirtilir. “Türkiye’de yerleşik firma, kurum ve kuruluşlardan ilgili taraf olmak isteyenler” tarafından yazılı sunumlarda kendilerine ait KEP adresleri de belirtilir.</w:t>
                  </w:r>
                </w:p>
                <w:p w14:paraId="2D0962F1" w14:textId="77777777" w:rsidR="00626029" w:rsidRPr="00626029" w:rsidRDefault="00626029" w:rsidP="00626029">
                  <w:r w:rsidRPr="00626029">
                    <w:t xml:space="preserve">(7) İlgili taraflar, soru formunda istenilen bilgiler haricinde soruşturmayla ilgili olduğu düşünülen diğer bilgi, belge ve görüşlerini, destekleyici deliller </w:t>
                  </w:r>
                  <w:proofErr w:type="gramStart"/>
                  <w:r w:rsidRPr="00626029">
                    <w:t>ile birlikte</w:t>
                  </w:r>
                  <w:proofErr w:type="gramEnd"/>
                  <w:r w:rsidRPr="00626029">
                    <w:t xml:space="preserve"> Genel Müdürlüğe yazılı olarak </w:t>
                  </w:r>
                  <w:proofErr w:type="gramStart"/>
                  <w:r w:rsidRPr="00626029">
                    <w:t>12 nci</w:t>
                  </w:r>
                  <w:proofErr w:type="gramEnd"/>
                  <w:r w:rsidRPr="00626029">
                    <w:t xml:space="preserve"> maddenin ikinci fıkrasında belirtilen süre içerisinde sunabilir.</w:t>
                  </w:r>
                </w:p>
                <w:p w14:paraId="5C2572AB" w14:textId="77777777" w:rsidR="00626029" w:rsidRPr="00626029" w:rsidRDefault="00626029" w:rsidP="00626029">
                  <w:r w:rsidRPr="00626029">
                    <w:t xml:space="preserve">(8) Soruşturma süresince Yönetmeliğin </w:t>
                  </w:r>
                  <w:proofErr w:type="gramStart"/>
                  <w:r w:rsidRPr="00626029">
                    <w:t>22 nci</w:t>
                  </w:r>
                  <w:proofErr w:type="gramEnd"/>
                  <w:r w:rsidRPr="00626029">
                    <w:t xml:space="preserve">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23ACF007" w14:textId="77777777" w:rsidR="00626029" w:rsidRPr="00626029" w:rsidRDefault="00626029" w:rsidP="00626029">
                  <w:r w:rsidRPr="00626029">
                    <w:rPr>
                      <w:b/>
                      <w:bCs/>
                    </w:rPr>
                    <w:t>Süreler</w:t>
                  </w:r>
                </w:p>
                <w:p w14:paraId="3C80F138" w14:textId="77777777" w:rsidR="00626029" w:rsidRPr="00626029" w:rsidRDefault="00626029" w:rsidP="00626029">
                  <w:r w:rsidRPr="00626029">
                    <w:rPr>
                      <w:b/>
                      <w:bCs/>
                    </w:rPr>
                    <w:t>MADDE 12-</w:t>
                  </w:r>
                  <w:r w:rsidRPr="00626029">
                    <w:t> (1) 10 uncu maddenin ikinci fıkrasında belirtilen bildirimin gönderildiği bütün ilgili taraflar için soru formunu cevaplama süresi, soruşturmanın açılışına ilişkin bildirimin gönderildiği tarihten itibaren posta süresi dâhil 37 gündür.</w:t>
                  </w:r>
                </w:p>
                <w:p w14:paraId="39B2BF6B" w14:textId="77777777" w:rsidR="00626029" w:rsidRPr="00626029" w:rsidRDefault="00626029" w:rsidP="00626029">
                  <w:r w:rsidRPr="00626029">
                    <w:t>(2) 10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1966500E" w14:textId="77777777" w:rsidR="00626029" w:rsidRPr="00626029" w:rsidRDefault="00626029" w:rsidP="00626029">
                  <w:r w:rsidRPr="00626029">
                    <w:t>(3) Soruşturmanın sonucundan etkilenebileceklerini iddia eden ve 10 uncu maddenin birinci fıkrası dışında kalan diğer yerli ve yabancı taraflar görüşlerini bu Tebliğin yayımı tarihinden itibaren soruşturmanın akışını etkilemeyecek şekilde soruşturma süreci içerisinde sunabilir.</w:t>
                  </w:r>
                </w:p>
                <w:p w14:paraId="0519D6F2" w14:textId="77777777" w:rsidR="00626029" w:rsidRPr="00626029" w:rsidRDefault="00626029" w:rsidP="00626029">
                  <w:r w:rsidRPr="00626029">
                    <w:rPr>
                      <w:b/>
                      <w:bCs/>
                    </w:rPr>
                    <w:t>İş birliğine gelinmemesi</w:t>
                  </w:r>
                </w:p>
                <w:p w14:paraId="4B57BBAF" w14:textId="77777777" w:rsidR="00626029" w:rsidRPr="00626029" w:rsidRDefault="00626029" w:rsidP="00626029">
                  <w:r w:rsidRPr="00626029">
                    <w:rPr>
                      <w:b/>
                      <w:bCs/>
                    </w:rPr>
                    <w:t>MADDE 13-</w:t>
                  </w:r>
                  <w:r w:rsidRPr="00626029">
                    <w:t xml:space="preserve"> (1) Yönetmeliğin </w:t>
                  </w:r>
                  <w:proofErr w:type="gramStart"/>
                  <w:r w:rsidRPr="00626029">
                    <w:t xml:space="preserve">26 </w:t>
                  </w:r>
                  <w:proofErr w:type="spellStart"/>
                  <w:r w:rsidRPr="00626029">
                    <w:t>ncı</w:t>
                  </w:r>
                  <w:proofErr w:type="spellEnd"/>
                  <w:proofErr w:type="gramEnd"/>
                  <w:r w:rsidRPr="00626029">
                    <w:t xml:space="preserve">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7FC80422" w14:textId="77777777" w:rsidR="00626029" w:rsidRPr="00626029" w:rsidRDefault="00626029" w:rsidP="00626029">
                  <w:r w:rsidRPr="00626029">
                    <w:t>(2) İlgili tarafların iş birliğine gelmemesi veya kısmen iş birliğine gelmesi halinde bahse konu taraf için soruşturmanın sonucu iş birliğine gelinmesine nazaran daha az avantajlı olabilir.</w:t>
                  </w:r>
                </w:p>
                <w:p w14:paraId="37538B35" w14:textId="77777777" w:rsidR="00626029" w:rsidRPr="00626029" w:rsidRDefault="00626029" w:rsidP="00626029">
                  <w:r w:rsidRPr="00626029">
                    <w:rPr>
                      <w:b/>
                      <w:bCs/>
                    </w:rPr>
                    <w:t>Meri önlemin uygulanması</w:t>
                  </w:r>
                </w:p>
                <w:p w14:paraId="1B1037AA" w14:textId="77777777" w:rsidR="00626029" w:rsidRPr="00626029" w:rsidRDefault="00626029" w:rsidP="00626029">
                  <w:r w:rsidRPr="00626029">
                    <w:rPr>
                      <w:b/>
                      <w:bCs/>
                    </w:rPr>
                    <w:t>MADDE 14-</w:t>
                  </w:r>
                  <w:r w:rsidRPr="00626029">
                    <w:t> (1) Yönetmeliğin 35 inci maddesi uyarınca, meri önlem soruşturma sonuçlanıncaya kadar yürürlükte kalmaya devam eder.</w:t>
                  </w:r>
                </w:p>
                <w:p w14:paraId="58342C34" w14:textId="77777777" w:rsidR="00626029" w:rsidRPr="00626029" w:rsidRDefault="00626029" w:rsidP="00626029">
                  <w:r w:rsidRPr="00626029">
                    <w:rPr>
                      <w:b/>
                      <w:bCs/>
                    </w:rPr>
                    <w:t>Soruşturmanın başlangıç tarihi</w:t>
                  </w:r>
                </w:p>
                <w:p w14:paraId="6490B09D" w14:textId="77777777" w:rsidR="00626029" w:rsidRPr="00626029" w:rsidRDefault="00626029" w:rsidP="00626029">
                  <w:r w:rsidRPr="00626029">
                    <w:rPr>
                      <w:b/>
                      <w:bCs/>
                    </w:rPr>
                    <w:t>MADDE 15-</w:t>
                  </w:r>
                  <w:r w:rsidRPr="00626029">
                    <w:t> (1) Soruşturma, bu Tebliğin yayımı tarihinde başlamış kabul edilir.</w:t>
                  </w:r>
                </w:p>
                <w:p w14:paraId="1DD45C31" w14:textId="77777777" w:rsidR="00626029" w:rsidRPr="00626029" w:rsidRDefault="00626029" w:rsidP="00626029">
                  <w:r w:rsidRPr="00626029">
                    <w:rPr>
                      <w:b/>
                      <w:bCs/>
                    </w:rPr>
                    <w:t>Yürürlük</w:t>
                  </w:r>
                </w:p>
                <w:p w14:paraId="76E17F84" w14:textId="77777777" w:rsidR="00626029" w:rsidRPr="00626029" w:rsidRDefault="00626029" w:rsidP="00626029">
                  <w:r w:rsidRPr="00626029">
                    <w:rPr>
                      <w:b/>
                      <w:bCs/>
                    </w:rPr>
                    <w:t>MADDE 16-</w:t>
                  </w:r>
                  <w:r w:rsidRPr="00626029">
                    <w:t> (1) Bu Tebliğ yayımı tarihinde yürürlüğe girer.</w:t>
                  </w:r>
                </w:p>
                <w:p w14:paraId="43E5E23D" w14:textId="77777777" w:rsidR="00626029" w:rsidRPr="00626029" w:rsidRDefault="00626029" w:rsidP="00626029">
                  <w:r w:rsidRPr="00626029">
                    <w:rPr>
                      <w:b/>
                      <w:bCs/>
                    </w:rPr>
                    <w:t>Yürütme</w:t>
                  </w:r>
                </w:p>
                <w:p w14:paraId="65251E97" w14:textId="77777777" w:rsidR="00626029" w:rsidRPr="00626029" w:rsidRDefault="00626029" w:rsidP="00626029">
                  <w:r w:rsidRPr="00626029">
                    <w:rPr>
                      <w:b/>
                      <w:bCs/>
                    </w:rPr>
                    <w:t>MADDE 17-</w:t>
                  </w:r>
                  <w:r w:rsidRPr="00626029">
                    <w:t> (1) Bu Tebliğ hükümlerini Ticaret Bakanı yürütür.</w:t>
                  </w:r>
                </w:p>
                <w:p w14:paraId="5C137E4A" w14:textId="77777777" w:rsidR="00626029" w:rsidRPr="00626029" w:rsidRDefault="00626029" w:rsidP="00626029">
                  <w:r w:rsidRPr="00626029">
                    <w:rPr>
                      <w:b/>
                      <w:bCs/>
                    </w:rPr>
                    <w:t> </w:t>
                  </w:r>
                </w:p>
              </w:tc>
            </w:tr>
          </w:tbl>
          <w:p w14:paraId="34E24572" w14:textId="77777777" w:rsidR="00626029" w:rsidRPr="00626029" w:rsidRDefault="00626029" w:rsidP="00626029"/>
        </w:tc>
      </w:tr>
    </w:tbl>
    <w:p w14:paraId="717A2CC5" w14:textId="77777777" w:rsidR="00626029" w:rsidRPr="00626029" w:rsidRDefault="00626029" w:rsidP="00626029">
      <w:r w:rsidRPr="00626029">
        <w:lastRenderedPageBreak/>
        <w:t> </w:t>
      </w:r>
    </w:p>
    <w:p w14:paraId="4E4C3811"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F3"/>
    <w:rsid w:val="000F40F3"/>
    <w:rsid w:val="00321E8D"/>
    <w:rsid w:val="00626029"/>
    <w:rsid w:val="008E5671"/>
    <w:rsid w:val="009A3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581A"/>
  <w15:chartTrackingRefBased/>
  <w15:docId w15:val="{E719EBB4-00E1-4DEF-98A9-94BB119F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029"/>
    <w:pPr>
      <w:spacing w:line="256" w:lineRule="auto"/>
    </w:pPr>
  </w:style>
  <w:style w:type="paragraph" w:styleId="Balk1">
    <w:name w:val="heading 1"/>
    <w:basedOn w:val="Normal"/>
    <w:next w:val="Normal"/>
    <w:link w:val="Balk1Char"/>
    <w:uiPriority w:val="9"/>
    <w:qFormat/>
    <w:rsid w:val="000F40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0F40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0F40F3"/>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0F40F3"/>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0F40F3"/>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0F40F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F40F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F40F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F40F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F40F3"/>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0F40F3"/>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0F40F3"/>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0F40F3"/>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0F40F3"/>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0F40F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F40F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F40F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F40F3"/>
    <w:rPr>
      <w:rFonts w:eastAsiaTheme="majorEastAsia" w:cstheme="majorBidi"/>
      <w:color w:val="272727" w:themeColor="text1" w:themeTint="D8"/>
    </w:rPr>
  </w:style>
  <w:style w:type="paragraph" w:styleId="KonuBal">
    <w:name w:val="Title"/>
    <w:basedOn w:val="Normal"/>
    <w:next w:val="Normal"/>
    <w:link w:val="KonuBalChar"/>
    <w:uiPriority w:val="10"/>
    <w:qFormat/>
    <w:rsid w:val="000F4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F40F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F40F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F40F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F40F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F40F3"/>
    <w:rPr>
      <w:i/>
      <w:iCs/>
      <w:color w:val="404040" w:themeColor="text1" w:themeTint="BF"/>
    </w:rPr>
  </w:style>
  <w:style w:type="paragraph" w:styleId="ListeParagraf">
    <w:name w:val="List Paragraph"/>
    <w:basedOn w:val="Normal"/>
    <w:uiPriority w:val="34"/>
    <w:qFormat/>
    <w:rsid w:val="000F40F3"/>
    <w:pPr>
      <w:ind w:left="720"/>
      <w:contextualSpacing/>
    </w:pPr>
  </w:style>
  <w:style w:type="character" w:styleId="GlVurgulama">
    <w:name w:val="Intense Emphasis"/>
    <w:basedOn w:val="VarsaylanParagrafYazTipi"/>
    <w:uiPriority w:val="21"/>
    <w:qFormat/>
    <w:rsid w:val="000F40F3"/>
    <w:rPr>
      <w:i/>
      <w:iCs/>
      <w:color w:val="2E74B5" w:themeColor="accent1" w:themeShade="BF"/>
    </w:rPr>
  </w:style>
  <w:style w:type="paragraph" w:styleId="GlAlnt">
    <w:name w:val="Intense Quote"/>
    <w:basedOn w:val="Normal"/>
    <w:next w:val="Normal"/>
    <w:link w:val="GlAlntChar"/>
    <w:uiPriority w:val="30"/>
    <w:qFormat/>
    <w:rsid w:val="000F40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0F40F3"/>
    <w:rPr>
      <w:i/>
      <w:iCs/>
      <w:color w:val="2E74B5" w:themeColor="accent1" w:themeShade="BF"/>
    </w:rPr>
  </w:style>
  <w:style w:type="character" w:styleId="GlBavuru">
    <w:name w:val="Intense Reference"/>
    <w:basedOn w:val="VarsaylanParagrafYazTipi"/>
    <w:uiPriority w:val="32"/>
    <w:qFormat/>
    <w:rsid w:val="000F40F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1618</Words>
  <Characters>12771</Characters>
  <Application>Microsoft Office Word</Application>
  <DocSecurity>0</DocSecurity>
  <Lines>224</Lines>
  <Paragraphs>125</Paragraphs>
  <ScaleCrop>false</ScaleCrop>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2026-03-23T19:11:00Z</dcterms:created>
  <dcterms:modified xsi:type="dcterms:W3CDTF">2026-03-23T19:11:00Z</dcterms:modified>
</cp:coreProperties>
</file>