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7049B7" w:rsidRPr="007049B7" w:rsidTr="007049B7">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7049B7" w:rsidRPr="007049B7">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9335"/>
                  </w:tblGrid>
                  <w:tr w:rsidR="007049B7" w:rsidRPr="007049B7" w:rsidTr="007049B7">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7049B7" w:rsidRPr="007049B7">
                          <w:tc>
                            <w:tcPr>
                              <w:tcW w:w="0" w:type="auto"/>
                              <w:vAlign w:val="center"/>
                              <w:hideMark/>
                            </w:tcPr>
                            <w:p w:rsidR="007049B7" w:rsidRPr="007049B7" w:rsidRDefault="007049B7" w:rsidP="007049B7">
                              <w:pPr>
                                <w:spacing w:after="0" w:line="240" w:lineRule="auto"/>
                                <w:jc w:val="center"/>
                                <w:rPr>
                                  <w:rFonts w:ascii="Verdana" w:eastAsia="Times New Roman" w:hAnsi="Verdana" w:cs="Times New Roman"/>
                                  <w:b/>
                                  <w:bCs/>
                                  <w:color w:val="9CA4BE"/>
                                  <w:sz w:val="18"/>
                                  <w:szCs w:val="18"/>
                                  <w:lang w:eastAsia="tr-TR"/>
                                </w:rPr>
                              </w:pPr>
                              <w:r w:rsidRPr="007049B7">
                                <w:rPr>
                                  <w:rFonts w:ascii="Verdana" w:eastAsia="Times New Roman" w:hAnsi="Verdana" w:cs="Times New Roman"/>
                                  <w:b/>
                                  <w:bCs/>
                                  <w:color w:val="9CA4BE"/>
                                  <w:sz w:val="18"/>
                                  <w:szCs w:val="18"/>
                                  <w:lang w:eastAsia="tr-TR"/>
                                </w:rPr>
                                <w:t>İthalatta Haksız Rekabetin Önlenmesine İlişkin Tebliğ (No: 2017/22) (20.10.2017 T. 30216 R.G.)</w:t>
                              </w:r>
                            </w:p>
                          </w:tc>
                        </w:tr>
                        <w:tr w:rsidR="007049B7" w:rsidRPr="007049B7">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7049B7" w:rsidRPr="007049B7">
                                <w:trPr>
                                  <w:tblCellSpacing w:w="15" w:type="dxa"/>
                                </w:trPr>
                                <w:tc>
                                  <w:tcPr>
                                    <w:tcW w:w="0" w:type="auto"/>
                                    <w:vAlign w:val="center"/>
                                    <w:hideMark/>
                                  </w:tcPr>
                                  <w:p w:rsidR="007049B7" w:rsidRPr="007049B7" w:rsidRDefault="007049B7" w:rsidP="007049B7">
                                    <w:pPr>
                                      <w:spacing w:after="0" w:line="240" w:lineRule="auto"/>
                                      <w:jc w:val="center"/>
                                      <w:rPr>
                                        <w:rFonts w:ascii="Verdana" w:eastAsia="Times New Roman" w:hAnsi="Verdana" w:cs="Times New Roman"/>
                                        <w:b/>
                                        <w:bCs/>
                                        <w:color w:val="9CA4BE"/>
                                        <w:sz w:val="18"/>
                                        <w:szCs w:val="18"/>
                                        <w:lang w:eastAsia="tr-TR"/>
                                      </w:rPr>
                                    </w:pPr>
                                  </w:p>
                                </w:tc>
                              </w:tr>
                            </w:tbl>
                            <w:p w:rsidR="007049B7" w:rsidRPr="007049B7" w:rsidRDefault="007049B7" w:rsidP="007049B7">
                              <w:pPr>
                                <w:spacing w:after="0" w:line="240" w:lineRule="auto"/>
                                <w:rPr>
                                  <w:rFonts w:ascii="Times New Roman" w:eastAsia="Times New Roman" w:hAnsi="Times New Roman" w:cs="Times New Roman"/>
                                  <w:sz w:val="24"/>
                                  <w:szCs w:val="24"/>
                                  <w:lang w:eastAsia="tr-TR"/>
                                </w:rPr>
                              </w:pPr>
                            </w:p>
                          </w:tc>
                        </w:tr>
                        <w:tr w:rsidR="007049B7" w:rsidRPr="007049B7">
                          <w:tc>
                            <w:tcPr>
                              <w:tcW w:w="0" w:type="auto"/>
                              <w:tcMar>
                                <w:top w:w="300" w:type="dxa"/>
                                <w:left w:w="150" w:type="dxa"/>
                                <w:bottom w:w="0" w:type="dxa"/>
                                <w:right w:w="150" w:type="dxa"/>
                              </w:tcMar>
                              <w:vAlign w:val="center"/>
                              <w:hideMark/>
                            </w:tcPr>
                            <w:p w:rsidR="007049B7" w:rsidRPr="007049B7" w:rsidRDefault="007049B7" w:rsidP="007049B7">
                              <w:pPr>
                                <w:spacing w:after="0" w:line="240" w:lineRule="atLeast"/>
                                <w:ind w:firstLine="566"/>
                                <w:jc w:val="both"/>
                                <w:rPr>
                                  <w:rFonts w:ascii="Times New Roman" w:eastAsia="Times New Roman" w:hAnsi="Times New Roman" w:cs="Times New Roman"/>
                                  <w:color w:val="000000"/>
                                  <w:u w:val="single"/>
                                  <w:lang w:eastAsia="tr-TR"/>
                                </w:rPr>
                              </w:pPr>
                              <w:r w:rsidRPr="007049B7">
                                <w:rPr>
                                  <w:rFonts w:ascii="Verdana" w:eastAsia="Times New Roman" w:hAnsi="Verdana" w:cs="Times New Roman"/>
                                  <w:color w:val="000000"/>
                                  <w:sz w:val="20"/>
                                  <w:szCs w:val="20"/>
                                  <w:u w:val="single"/>
                                  <w:lang w:eastAsia="tr-TR"/>
                                </w:rPr>
                                <w:t>Ekonomi Bakanlığından:</w:t>
                              </w:r>
                            </w:p>
                            <w:p w:rsidR="007049B7" w:rsidRPr="007049B7" w:rsidRDefault="007049B7" w:rsidP="007049B7">
                              <w:pPr>
                                <w:spacing w:after="0" w:line="240" w:lineRule="atLeast"/>
                                <w:jc w:val="center"/>
                                <w:rPr>
                                  <w:rFonts w:ascii="Times New Roman" w:eastAsia="Times New Roman" w:hAnsi="Times New Roman" w:cs="Times New Roman"/>
                                  <w:b/>
                                  <w:bCs/>
                                  <w:color w:val="000000"/>
                                  <w:sz w:val="19"/>
                                  <w:szCs w:val="19"/>
                                  <w:lang w:eastAsia="tr-TR"/>
                                </w:rPr>
                              </w:pPr>
                              <w:r w:rsidRPr="007049B7">
                                <w:rPr>
                                  <w:rFonts w:ascii="Verdana" w:eastAsia="Times New Roman" w:hAnsi="Verdana" w:cs="Times New Roman"/>
                                  <w:b/>
                                  <w:bCs/>
                                  <w:color w:val="000000"/>
                                  <w:sz w:val="20"/>
                                  <w:szCs w:val="20"/>
                                  <w:lang w:eastAsia="tr-TR"/>
                                </w:rPr>
                                <w:t>İTHALATTA HAKSIZ REKABETİN ÖNLENMESİNE İLİŞKİN TEBLİĞ</w:t>
                              </w:r>
                            </w:p>
                            <w:p w:rsidR="007049B7" w:rsidRPr="007049B7" w:rsidRDefault="007049B7" w:rsidP="007049B7">
                              <w:pPr>
                                <w:spacing w:after="0" w:line="240" w:lineRule="atLeast"/>
                                <w:jc w:val="center"/>
                                <w:rPr>
                                  <w:rFonts w:ascii="Times New Roman" w:eastAsia="Times New Roman" w:hAnsi="Times New Roman" w:cs="Times New Roman"/>
                                  <w:b/>
                                  <w:bCs/>
                                  <w:color w:val="000000"/>
                                  <w:sz w:val="19"/>
                                  <w:szCs w:val="19"/>
                                  <w:lang w:eastAsia="tr-TR"/>
                                </w:rPr>
                              </w:pPr>
                              <w:r w:rsidRPr="007049B7">
                                <w:rPr>
                                  <w:rFonts w:ascii="Verdana" w:eastAsia="Times New Roman" w:hAnsi="Verdana" w:cs="Times New Roman"/>
                                  <w:b/>
                                  <w:bCs/>
                                  <w:color w:val="000000"/>
                                  <w:sz w:val="20"/>
                                  <w:szCs w:val="20"/>
                                  <w:lang w:eastAsia="tr-TR"/>
                                </w:rPr>
                                <w:t>(TEBLİĞ NO: 2017/22)</w:t>
                              </w:r>
                            </w:p>
                            <w:p w:rsidR="007049B7" w:rsidRPr="007049B7" w:rsidRDefault="007049B7" w:rsidP="007049B7">
                              <w:pPr>
                                <w:spacing w:after="0" w:line="240" w:lineRule="atLeast"/>
                                <w:ind w:firstLine="566"/>
                                <w:jc w:val="both"/>
                                <w:rPr>
                                  <w:rFonts w:ascii="Times New Roman" w:eastAsia="Times New Roman" w:hAnsi="Times New Roman" w:cs="Times New Roman"/>
                                  <w:color w:val="000000"/>
                                  <w:sz w:val="19"/>
                                  <w:szCs w:val="19"/>
                                  <w:lang w:eastAsia="tr-TR"/>
                                </w:rPr>
                              </w:pPr>
                              <w:r w:rsidRPr="007049B7">
                                <w:rPr>
                                  <w:rFonts w:ascii="Verdana" w:eastAsia="Times New Roman" w:hAnsi="Verdana" w:cs="Times New Roman"/>
                                  <w:b/>
                                  <w:bCs/>
                                  <w:color w:val="000000"/>
                                  <w:sz w:val="20"/>
                                  <w:szCs w:val="20"/>
                                  <w:lang w:eastAsia="tr-TR"/>
                                </w:rPr>
                                <w:t>Amaç ve kapsam</w:t>
                              </w:r>
                            </w:p>
                            <w:p w:rsidR="007049B7" w:rsidRPr="007049B7" w:rsidRDefault="007049B7" w:rsidP="007049B7">
                              <w:pPr>
                                <w:spacing w:after="0" w:line="240" w:lineRule="atLeast"/>
                                <w:ind w:firstLine="566"/>
                                <w:jc w:val="both"/>
                                <w:rPr>
                                  <w:rFonts w:ascii="Times New Roman" w:eastAsia="Times New Roman" w:hAnsi="Times New Roman" w:cs="Times New Roman"/>
                                  <w:color w:val="000000"/>
                                  <w:sz w:val="19"/>
                                  <w:szCs w:val="19"/>
                                  <w:lang w:eastAsia="tr-TR"/>
                                </w:rPr>
                              </w:pPr>
                              <w:r w:rsidRPr="007049B7">
                                <w:rPr>
                                  <w:rFonts w:ascii="Verdana" w:eastAsia="Times New Roman" w:hAnsi="Verdana" w:cs="Times New Roman"/>
                                  <w:b/>
                                  <w:bCs/>
                                  <w:color w:val="000000"/>
                                  <w:sz w:val="18"/>
                                  <w:szCs w:val="18"/>
                                  <w:lang w:eastAsia="tr-TR"/>
                                </w:rPr>
                                <w:t>MADDE 1 –</w:t>
                              </w:r>
                              <w:r w:rsidRPr="007049B7">
                                <w:rPr>
                                  <w:rFonts w:ascii="Verdana" w:eastAsia="Times New Roman" w:hAnsi="Verdana" w:cs="Times New Roman"/>
                                  <w:color w:val="000000"/>
                                  <w:sz w:val="18"/>
                                  <w:szCs w:val="18"/>
                                  <w:lang w:eastAsia="tr-TR"/>
                                </w:rPr>
                                <w:t xml:space="preserve"> (1) Bu Tebliğin amacı, 1/7/2016 tarihli ve 29759 sayılı Resmî </w:t>
                              </w:r>
                              <w:proofErr w:type="spellStart"/>
                              <w:r w:rsidRPr="007049B7">
                                <w:rPr>
                                  <w:rFonts w:ascii="Verdana" w:eastAsia="Times New Roman" w:hAnsi="Verdana" w:cs="Times New Roman"/>
                                  <w:color w:val="000000"/>
                                  <w:sz w:val="18"/>
                                  <w:szCs w:val="18"/>
                                  <w:lang w:eastAsia="tr-TR"/>
                                </w:rPr>
                                <w:t>Gazete’de</w:t>
                              </w:r>
                              <w:proofErr w:type="spellEnd"/>
                              <w:r w:rsidRPr="007049B7">
                                <w:rPr>
                                  <w:rFonts w:ascii="Verdana" w:eastAsia="Times New Roman" w:hAnsi="Verdana" w:cs="Times New Roman"/>
                                  <w:color w:val="000000"/>
                                  <w:sz w:val="18"/>
                                  <w:szCs w:val="18"/>
                                  <w:lang w:eastAsia="tr-TR"/>
                                </w:rPr>
                                <w:t xml:space="preserve"> yayımlanan İthalatta Haksız Rekabetin Önlenmesine İlişkin Tebliğ (Tebliğ No: 2016/24) ile Çin Halk Cumhuriyeti menşeli 5811.00 (5811.00.00.07.00, 5811.00.00.09.00, 5811.00.00.92.00, 5811.00.00.93.00 gümrük tarife istatistik pozisyonları hariç) gümrük tarife pozisyonu altında kayıtlı “aralarına dolgu maddesi konulan bir veya daha fazla dokumaya elverişli madde tabakalarının dikilmesi veya başka şekilde birleştirilmesinden meydana gelen parça halindeki </w:t>
                              </w:r>
                              <w:proofErr w:type="spellStart"/>
                              <w:r w:rsidRPr="007049B7">
                                <w:rPr>
                                  <w:rFonts w:ascii="Verdana" w:eastAsia="Times New Roman" w:hAnsi="Verdana" w:cs="Times New Roman"/>
                                  <w:color w:val="000000"/>
                                  <w:sz w:val="18"/>
                                  <w:szCs w:val="18"/>
                                  <w:lang w:eastAsia="tr-TR"/>
                                </w:rPr>
                                <w:t>kapitoneli</w:t>
                              </w:r>
                              <w:proofErr w:type="spellEnd"/>
                              <w:r w:rsidRPr="007049B7">
                                <w:rPr>
                                  <w:rFonts w:ascii="Verdana" w:eastAsia="Times New Roman" w:hAnsi="Verdana" w:cs="Times New Roman"/>
                                  <w:color w:val="000000"/>
                                  <w:sz w:val="18"/>
                                  <w:szCs w:val="18"/>
                                  <w:lang w:eastAsia="tr-TR"/>
                                </w:rPr>
                                <w:t xml:space="preserve"> mensucat (58.10 pozisyonundaki işlemeler hariç)”</w:t>
                              </w:r>
                              <w:proofErr w:type="spellStart"/>
                              <w:r w:rsidRPr="007049B7">
                                <w:rPr>
                                  <w:rFonts w:ascii="Verdana" w:eastAsia="Times New Roman" w:hAnsi="Verdana" w:cs="Times New Roman"/>
                                  <w:color w:val="000000"/>
                                  <w:sz w:val="18"/>
                                  <w:szCs w:val="18"/>
                                  <w:lang w:eastAsia="tr-TR"/>
                                </w:rPr>
                                <w:t>ın</w:t>
                              </w:r>
                              <w:proofErr w:type="spellEnd"/>
                              <w:r w:rsidRPr="007049B7">
                                <w:rPr>
                                  <w:rFonts w:ascii="Verdana" w:eastAsia="Times New Roman" w:hAnsi="Verdana" w:cs="Times New Roman"/>
                                  <w:color w:val="000000"/>
                                  <w:sz w:val="18"/>
                                  <w:szCs w:val="18"/>
                                  <w:lang w:eastAsia="tr-TR"/>
                                </w:rPr>
                                <w:t> ithalatına yönelik başlatılan ve T.C. Ekonomi Bakanlığı İthalat Genel Müdürlüğü tarafından yürütülen </w:t>
                              </w:r>
                              <w:proofErr w:type="gramStart"/>
                              <w:r w:rsidRPr="007049B7">
                                <w:rPr>
                                  <w:rFonts w:ascii="Verdana" w:eastAsia="Times New Roman" w:hAnsi="Verdana" w:cs="Times New Roman"/>
                                  <w:color w:val="000000"/>
                                  <w:sz w:val="18"/>
                                  <w:szCs w:val="18"/>
                                  <w:lang w:eastAsia="tr-TR"/>
                                </w:rPr>
                                <w:t>damping</w:t>
                              </w:r>
                              <w:proofErr w:type="gramEnd"/>
                              <w:r w:rsidRPr="007049B7">
                                <w:rPr>
                                  <w:rFonts w:ascii="Verdana" w:eastAsia="Times New Roman" w:hAnsi="Verdana" w:cs="Times New Roman"/>
                                  <w:color w:val="000000"/>
                                  <w:sz w:val="18"/>
                                  <w:szCs w:val="18"/>
                                  <w:lang w:eastAsia="tr-TR"/>
                                </w:rPr>
                                <w:t> soruşturmasının tamamlanması neticesinde alınan kararın yürürlüğe konulmasıdır.</w:t>
                              </w:r>
                            </w:p>
                            <w:p w:rsidR="007049B7" w:rsidRPr="007049B7" w:rsidRDefault="007049B7" w:rsidP="007049B7">
                              <w:pPr>
                                <w:spacing w:after="0" w:line="240" w:lineRule="atLeast"/>
                                <w:ind w:firstLine="566"/>
                                <w:jc w:val="both"/>
                                <w:rPr>
                                  <w:rFonts w:ascii="Times New Roman" w:eastAsia="Times New Roman" w:hAnsi="Times New Roman" w:cs="Times New Roman"/>
                                  <w:color w:val="000000"/>
                                  <w:sz w:val="19"/>
                                  <w:szCs w:val="19"/>
                                  <w:lang w:eastAsia="tr-TR"/>
                                </w:rPr>
                              </w:pPr>
                              <w:r w:rsidRPr="007049B7">
                                <w:rPr>
                                  <w:rFonts w:ascii="Verdana" w:eastAsia="Times New Roman" w:hAnsi="Verdana" w:cs="Times New Roman"/>
                                  <w:b/>
                                  <w:bCs/>
                                  <w:color w:val="000000"/>
                                  <w:sz w:val="20"/>
                                  <w:szCs w:val="20"/>
                                  <w:lang w:eastAsia="tr-TR"/>
                                </w:rPr>
                                <w:t>Dayanak</w:t>
                              </w:r>
                            </w:p>
                            <w:p w:rsidR="007049B7" w:rsidRPr="007049B7" w:rsidRDefault="007049B7" w:rsidP="007049B7">
                              <w:pPr>
                                <w:spacing w:after="0" w:line="240" w:lineRule="atLeast"/>
                                <w:ind w:firstLine="566"/>
                                <w:jc w:val="both"/>
                                <w:rPr>
                                  <w:rFonts w:ascii="Times New Roman" w:eastAsia="Times New Roman" w:hAnsi="Times New Roman" w:cs="Times New Roman"/>
                                  <w:color w:val="000000"/>
                                  <w:sz w:val="19"/>
                                  <w:szCs w:val="19"/>
                                  <w:lang w:eastAsia="tr-TR"/>
                                </w:rPr>
                              </w:pPr>
                              <w:r w:rsidRPr="007049B7">
                                <w:rPr>
                                  <w:rFonts w:ascii="Verdana" w:eastAsia="Times New Roman" w:hAnsi="Verdana" w:cs="Times New Roman"/>
                                  <w:b/>
                                  <w:bCs/>
                                  <w:color w:val="000000"/>
                                  <w:sz w:val="18"/>
                                  <w:szCs w:val="18"/>
                                  <w:lang w:eastAsia="tr-TR"/>
                                </w:rPr>
                                <w:t>MADDE 2 –</w:t>
                              </w:r>
                              <w:r w:rsidRPr="007049B7">
                                <w:rPr>
                                  <w:rFonts w:ascii="Verdana" w:eastAsia="Times New Roman" w:hAnsi="Verdana" w:cs="Times New Roman"/>
                                  <w:color w:val="000000"/>
                                  <w:sz w:val="18"/>
                                  <w:szCs w:val="18"/>
                                  <w:lang w:eastAsia="tr-TR"/>
                                </w:rPr>
                                <w:t> (1) Bu Tebliğ, </w:t>
                              </w:r>
                              <w:proofErr w:type="gramStart"/>
                              <w:r w:rsidRPr="007049B7">
                                <w:rPr>
                                  <w:rFonts w:ascii="Verdana" w:eastAsia="Times New Roman" w:hAnsi="Verdana" w:cs="Times New Roman"/>
                                  <w:color w:val="000000"/>
                                  <w:sz w:val="18"/>
                                  <w:szCs w:val="18"/>
                                  <w:lang w:eastAsia="tr-TR"/>
                                </w:rPr>
                                <w:t>14/6/1989</w:t>
                              </w:r>
                              <w:proofErr w:type="gramEnd"/>
                              <w:r w:rsidRPr="007049B7">
                                <w:rPr>
                                  <w:rFonts w:ascii="Verdana" w:eastAsia="Times New Roman" w:hAnsi="Verdana" w:cs="Times New Roman"/>
                                  <w:color w:val="000000"/>
                                  <w:sz w:val="18"/>
                                  <w:szCs w:val="18"/>
                                  <w:lang w:eastAsia="tr-TR"/>
                                </w:rPr>
                                <w:t xml:space="preserve">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7049B7">
                                <w:rPr>
                                  <w:rFonts w:ascii="Verdana" w:eastAsia="Times New Roman" w:hAnsi="Verdana" w:cs="Times New Roman"/>
                                  <w:color w:val="000000"/>
                                  <w:sz w:val="18"/>
                                  <w:szCs w:val="18"/>
                                  <w:lang w:eastAsia="tr-TR"/>
                                </w:rPr>
                                <w:t>Gazete’de</w:t>
                              </w:r>
                              <w:proofErr w:type="spellEnd"/>
                              <w:r w:rsidRPr="007049B7">
                                <w:rPr>
                                  <w:rFonts w:ascii="Verdana" w:eastAsia="Times New Roman" w:hAnsi="Verdana" w:cs="Times New Roman"/>
                                  <w:color w:val="000000"/>
                                  <w:sz w:val="18"/>
                                  <w:szCs w:val="18"/>
                                  <w:lang w:eastAsia="tr-TR"/>
                                </w:rPr>
                                <w:t xml:space="preserve"> yayımlanan İthalatta Haksız Rekabetin Önlenmesi Hakkında Yönetmeliğe dayanılarak hazırlanmıştır.</w:t>
                              </w:r>
                            </w:p>
                            <w:p w:rsidR="007049B7" w:rsidRPr="007049B7" w:rsidRDefault="007049B7" w:rsidP="007049B7">
                              <w:pPr>
                                <w:spacing w:after="0" w:line="240" w:lineRule="atLeast"/>
                                <w:ind w:firstLine="566"/>
                                <w:jc w:val="both"/>
                                <w:rPr>
                                  <w:rFonts w:ascii="Times New Roman" w:eastAsia="Times New Roman" w:hAnsi="Times New Roman" w:cs="Times New Roman"/>
                                  <w:color w:val="000000"/>
                                  <w:sz w:val="19"/>
                                  <w:szCs w:val="19"/>
                                  <w:lang w:eastAsia="tr-TR"/>
                                </w:rPr>
                              </w:pPr>
                              <w:r w:rsidRPr="007049B7">
                                <w:rPr>
                                  <w:rFonts w:ascii="Verdana" w:eastAsia="Times New Roman" w:hAnsi="Verdana" w:cs="Times New Roman"/>
                                  <w:b/>
                                  <w:bCs/>
                                  <w:color w:val="000000"/>
                                  <w:sz w:val="20"/>
                                  <w:szCs w:val="20"/>
                                  <w:lang w:eastAsia="tr-TR"/>
                                </w:rPr>
                                <w:t>Tanımlar</w:t>
                              </w:r>
                            </w:p>
                            <w:p w:rsidR="007049B7" w:rsidRPr="007049B7" w:rsidRDefault="007049B7" w:rsidP="007049B7">
                              <w:pPr>
                                <w:spacing w:after="0" w:line="240" w:lineRule="atLeast"/>
                                <w:ind w:firstLine="566"/>
                                <w:jc w:val="both"/>
                                <w:rPr>
                                  <w:rFonts w:ascii="Times New Roman" w:eastAsia="Times New Roman" w:hAnsi="Times New Roman" w:cs="Times New Roman"/>
                                  <w:color w:val="000000"/>
                                  <w:sz w:val="19"/>
                                  <w:szCs w:val="19"/>
                                  <w:lang w:eastAsia="tr-TR"/>
                                </w:rPr>
                              </w:pPr>
                              <w:r w:rsidRPr="007049B7">
                                <w:rPr>
                                  <w:rFonts w:ascii="Verdana" w:eastAsia="Times New Roman" w:hAnsi="Verdana" w:cs="Times New Roman"/>
                                  <w:b/>
                                  <w:bCs/>
                                  <w:color w:val="000000"/>
                                  <w:sz w:val="18"/>
                                  <w:szCs w:val="18"/>
                                  <w:lang w:eastAsia="tr-TR"/>
                                </w:rPr>
                                <w:t>MADDE 3 –</w:t>
                              </w:r>
                              <w:r w:rsidRPr="007049B7">
                                <w:rPr>
                                  <w:rFonts w:ascii="Verdana" w:eastAsia="Times New Roman" w:hAnsi="Verdana" w:cs="Times New Roman"/>
                                  <w:color w:val="000000"/>
                                  <w:sz w:val="18"/>
                                  <w:szCs w:val="18"/>
                                  <w:lang w:eastAsia="tr-TR"/>
                                </w:rPr>
                                <w:t> (1) Bu Tebliğde geçen;</w:t>
                              </w:r>
                            </w:p>
                            <w:p w:rsidR="007049B7" w:rsidRPr="007049B7" w:rsidRDefault="007049B7" w:rsidP="007049B7">
                              <w:pPr>
                                <w:spacing w:after="0" w:line="240" w:lineRule="atLeast"/>
                                <w:ind w:firstLine="566"/>
                                <w:jc w:val="both"/>
                                <w:rPr>
                                  <w:rFonts w:ascii="Times New Roman" w:eastAsia="Times New Roman" w:hAnsi="Times New Roman" w:cs="Times New Roman"/>
                                  <w:color w:val="000000"/>
                                  <w:sz w:val="19"/>
                                  <w:szCs w:val="19"/>
                                  <w:lang w:eastAsia="tr-TR"/>
                                </w:rPr>
                              </w:pPr>
                              <w:r w:rsidRPr="007049B7">
                                <w:rPr>
                                  <w:rFonts w:ascii="Verdana" w:eastAsia="Times New Roman" w:hAnsi="Verdana" w:cs="Times New Roman"/>
                                  <w:color w:val="000000"/>
                                  <w:sz w:val="20"/>
                                  <w:szCs w:val="20"/>
                                  <w:lang w:eastAsia="tr-TR"/>
                                </w:rPr>
                                <w:t>a) GTİP: Gümrük tarife istatistik pozisyonunu,</w:t>
                              </w:r>
                            </w:p>
                            <w:p w:rsidR="007049B7" w:rsidRPr="007049B7" w:rsidRDefault="007049B7" w:rsidP="007049B7">
                              <w:pPr>
                                <w:spacing w:after="0" w:line="240" w:lineRule="atLeast"/>
                                <w:ind w:firstLine="566"/>
                                <w:jc w:val="both"/>
                                <w:rPr>
                                  <w:rFonts w:ascii="Times New Roman" w:eastAsia="Times New Roman" w:hAnsi="Times New Roman" w:cs="Times New Roman"/>
                                  <w:color w:val="000000"/>
                                  <w:sz w:val="19"/>
                                  <w:szCs w:val="19"/>
                                  <w:lang w:eastAsia="tr-TR"/>
                                </w:rPr>
                              </w:pPr>
                              <w:r w:rsidRPr="007049B7">
                                <w:rPr>
                                  <w:rFonts w:ascii="Verdana" w:eastAsia="Times New Roman" w:hAnsi="Verdana" w:cs="Times New Roman"/>
                                  <w:color w:val="000000"/>
                                  <w:sz w:val="20"/>
                                  <w:szCs w:val="20"/>
                                  <w:lang w:eastAsia="tr-TR"/>
                                </w:rPr>
                                <w:t>b) GTP: Gümrük tarife pozisyonunu,</w:t>
                              </w:r>
                            </w:p>
                            <w:p w:rsidR="007049B7" w:rsidRPr="007049B7" w:rsidRDefault="007049B7" w:rsidP="007049B7">
                              <w:pPr>
                                <w:spacing w:after="0" w:line="240" w:lineRule="atLeast"/>
                                <w:ind w:firstLine="566"/>
                                <w:jc w:val="both"/>
                                <w:rPr>
                                  <w:rFonts w:ascii="Times New Roman" w:eastAsia="Times New Roman" w:hAnsi="Times New Roman" w:cs="Times New Roman"/>
                                  <w:color w:val="000000"/>
                                  <w:sz w:val="19"/>
                                  <w:szCs w:val="19"/>
                                  <w:lang w:eastAsia="tr-TR"/>
                                </w:rPr>
                              </w:pPr>
                              <w:r w:rsidRPr="007049B7">
                                <w:rPr>
                                  <w:rFonts w:ascii="Verdana" w:eastAsia="Times New Roman" w:hAnsi="Verdana" w:cs="Times New Roman"/>
                                  <w:color w:val="000000"/>
                                  <w:sz w:val="20"/>
                                  <w:szCs w:val="20"/>
                                  <w:lang w:eastAsia="tr-TR"/>
                                </w:rPr>
                                <w:t xml:space="preserve">c) </w:t>
                              </w:r>
                              <w:proofErr w:type="spellStart"/>
                              <w:r w:rsidRPr="007049B7">
                                <w:rPr>
                                  <w:rFonts w:ascii="Verdana" w:eastAsia="Times New Roman" w:hAnsi="Verdana" w:cs="Times New Roman"/>
                                  <w:color w:val="000000"/>
                                  <w:sz w:val="20"/>
                                  <w:szCs w:val="20"/>
                                  <w:lang w:eastAsia="tr-TR"/>
                                </w:rPr>
                                <w:t>Kapitoneli</w:t>
                              </w:r>
                              <w:proofErr w:type="spellEnd"/>
                              <w:r w:rsidRPr="007049B7">
                                <w:rPr>
                                  <w:rFonts w:ascii="Verdana" w:eastAsia="Times New Roman" w:hAnsi="Verdana" w:cs="Times New Roman"/>
                                  <w:color w:val="000000"/>
                                  <w:sz w:val="20"/>
                                  <w:szCs w:val="20"/>
                                  <w:lang w:eastAsia="tr-TR"/>
                                </w:rPr>
                                <w:t xml:space="preserve"> mensucat: Aralarına dolgu maddesi konulan bir veya daha fazla dokumaya elverişli madde tabakalarının dikilmesi veya başka şekilde birleştirilmesinden meydana gelen parça halindeki </w:t>
                              </w:r>
                              <w:proofErr w:type="spellStart"/>
                              <w:r w:rsidRPr="007049B7">
                                <w:rPr>
                                  <w:rFonts w:ascii="Verdana" w:eastAsia="Times New Roman" w:hAnsi="Verdana" w:cs="Times New Roman"/>
                                  <w:color w:val="000000"/>
                                  <w:sz w:val="20"/>
                                  <w:szCs w:val="20"/>
                                  <w:lang w:eastAsia="tr-TR"/>
                                </w:rPr>
                                <w:t>kapitoneli</w:t>
                              </w:r>
                              <w:proofErr w:type="spellEnd"/>
                              <w:r w:rsidRPr="007049B7">
                                <w:rPr>
                                  <w:rFonts w:ascii="Verdana" w:eastAsia="Times New Roman" w:hAnsi="Verdana" w:cs="Times New Roman"/>
                                  <w:color w:val="000000"/>
                                  <w:sz w:val="20"/>
                                  <w:szCs w:val="20"/>
                                  <w:lang w:eastAsia="tr-TR"/>
                                </w:rPr>
                                <w:t xml:space="preserve"> mensucatı (58.10 pozisyonundaki işlemeler hariç),</w:t>
                              </w:r>
                            </w:p>
                            <w:p w:rsidR="007049B7" w:rsidRPr="007049B7" w:rsidRDefault="007049B7" w:rsidP="007049B7">
                              <w:pPr>
                                <w:spacing w:after="0" w:line="240" w:lineRule="atLeast"/>
                                <w:ind w:firstLine="566"/>
                                <w:jc w:val="both"/>
                                <w:rPr>
                                  <w:rFonts w:ascii="Times New Roman" w:eastAsia="Times New Roman" w:hAnsi="Times New Roman" w:cs="Times New Roman"/>
                                  <w:color w:val="000000"/>
                                  <w:sz w:val="19"/>
                                  <w:szCs w:val="19"/>
                                  <w:lang w:eastAsia="tr-TR"/>
                                </w:rPr>
                              </w:pPr>
                              <w:r w:rsidRPr="007049B7">
                                <w:rPr>
                                  <w:rFonts w:ascii="Verdana" w:eastAsia="Times New Roman" w:hAnsi="Verdana" w:cs="Times New Roman"/>
                                  <w:color w:val="000000"/>
                                  <w:sz w:val="20"/>
                                  <w:szCs w:val="20"/>
                                  <w:lang w:eastAsia="tr-TR"/>
                                </w:rPr>
                                <w:t>ç) Kurul: İthalatta Haksız Rekabeti Değerlendirme Kurulunu,</w:t>
                              </w:r>
                            </w:p>
                            <w:p w:rsidR="007049B7" w:rsidRPr="007049B7" w:rsidRDefault="007049B7" w:rsidP="007049B7">
                              <w:pPr>
                                <w:spacing w:after="0" w:line="240" w:lineRule="atLeast"/>
                                <w:ind w:firstLine="566"/>
                                <w:jc w:val="both"/>
                                <w:rPr>
                                  <w:rFonts w:ascii="Times New Roman" w:eastAsia="Times New Roman" w:hAnsi="Times New Roman" w:cs="Times New Roman"/>
                                  <w:color w:val="000000"/>
                                  <w:sz w:val="19"/>
                                  <w:szCs w:val="19"/>
                                  <w:lang w:eastAsia="tr-TR"/>
                                </w:rPr>
                              </w:pPr>
                              <w:r w:rsidRPr="007049B7">
                                <w:rPr>
                                  <w:rFonts w:ascii="Verdana" w:eastAsia="Times New Roman" w:hAnsi="Verdana" w:cs="Times New Roman"/>
                                  <w:color w:val="000000"/>
                                  <w:sz w:val="20"/>
                                  <w:szCs w:val="20"/>
                                  <w:lang w:eastAsia="tr-TR"/>
                                </w:rPr>
                                <w:t>d) TGTC: Türk Gümrük Tarife Cetvelini,</w:t>
                              </w:r>
                            </w:p>
                            <w:p w:rsidR="007049B7" w:rsidRPr="007049B7" w:rsidRDefault="007049B7" w:rsidP="007049B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7049B7">
                                <w:rPr>
                                  <w:rFonts w:ascii="Verdana" w:eastAsia="Times New Roman" w:hAnsi="Verdana" w:cs="Times New Roman"/>
                                  <w:color w:val="000000"/>
                                  <w:sz w:val="18"/>
                                  <w:szCs w:val="18"/>
                                  <w:lang w:eastAsia="tr-TR"/>
                                </w:rPr>
                                <w:t>ifade</w:t>
                              </w:r>
                              <w:proofErr w:type="gramEnd"/>
                              <w:r w:rsidRPr="007049B7">
                                <w:rPr>
                                  <w:rFonts w:ascii="Verdana" w:eastAsia="Times New Roman" w:hAnsi="Verdana" w:cs="Times New Roman"/>
                                  <w:color w:val="000000"/>
                                  <w:sz w:val="18"/>
                                  <w:szCs w:val="18"/>
                                  <w:lang w:eastAsia="tr-TR"/>
                                </w:rPr>
                                <w:t> eder.</w:t>
                              </w:r>
                            </w:p>
                            <w:p w:rsidR="007049B7" w:rsidRPr="007049B7" w:rsidRDefault="007049B7" w:rsidP="007049B7">
                              <w:pPr>
                                <w:spacing w:after="0" w:line="240" w:lineRule="atLeast"/>
                                <w:ind w:firstLine="566"/>
                                <w:jc w:val="both"/>
                                <w:rPr>
                                  <w:rFonts w:ascii="Times New Roman" w:eastAsia="Times New Roman" w:hAnsi="Times New Roman" w:cs="Times New Roman"/>
                                  <w:color w:val="000000"/>
                                  <w:sz w:val="19"/>
                                  <w:szCs w:val="19"/>
                                  <w:lang w:eastAsia="tr-TR"/>
                                </w:rPr>
                              </w:pPr>
                              <w:r w:rsidRPr="007049B7">
                                <w:rPr>
                                  <w:rFonts w:ascii="Verdana" w:eastAsia="Times New Roman" w:hAnsi="Verdana" w:cs="Times New Roman"/>
                                  <w:b/>
                                  <w:bCs/>
                                  <w:color w:val="000000"/>
                                  <w:sz w:val="20"/>
                                  <w:szCs w:val="20"/>
                                  <w:lang w:eastAsia="tr-TR"/>
                                </w:rPr>
                                <w:t>Karar</w:t>
                              </w:r>
                            </w:p>
                            <w:p w:rsidR="007049B7" w:rsidRPr="007049B7" w:rsidRDefault="007049B7" w:rsidP="007049B7">
                              <w:pPr>
                                <w:spacing w:after="0" w:line="240" w:lineRule="atLeast"/>
                                <w:ind w:firstLine="566"/>
                                <w:jc w:val="both"/>
                                <w:rPr>
                                  <w:rFonts w:ascii="Times New Roman" w:eastAsia="Times New Roman" w:hAnsi="Times New Roman" w:cs="Times New Roman"/>
                                  <w:color w:val="000000"/>
                                  <w:sz w:val="19"/>
                                  <w:szCs w:val="19"/>
                                  <w:lang w:eastAsia="tr-TR"/>
                                </w:rPr>
                              </w:pPr>
                              <w:r w:rsidRPr="007049B7">
                                <w:rPr>
                                  <w:rFonts w:ascii="Verdana" w:eastAsia="Times New Roman" w:hAnsi="Verdana" w:cs="Times New Roman"/>
                                  <w:b/>
                                  <w:bCs/>
                                  <w:color w:val="000000"/>
                                  <w:sz w:val="18"/>
                                  <w:szCs w:val="18"/>
                                  <w:lang w:eastAsia="tr-TR"/>
                                </w:rPr>
                                <w:t>MADDE 4 –</w:t>
                              </w:r>
                              <w:r w:rsidRPr="007049B7">
                                <w:rPr>
                                  <w:rFonts w:ascii="Verdana" w:eastAsia="Times New Roman" w:hAnsi="Verdana" w:cs="Times New Roman"/>
                                  <w:color w:val="000000"/>
                                  <w:sz w:val="18"/>
                                  <w:szCs w:val="18"/>
                                  <w:lang w:eastAsia="tr-TR"/>
                                </w:rPr>
                                <w:t> (1) Yürütülen soruşturma sonucunda, Çin Halk Cumhuriyeti menşeli soruşturma konusu ürünün ithalatının </w:t>
                              </w:r>
                              <w:proofErr w:type="gramStart"/>
                              <w:r w:rsidRPr="007049B7">
                                <w:rPr>
                                  <w:rFonts w:ascii="Verdana" w:eastAsia="Times New Roman" w:hAnsi="Verdana" w:cs="Times New Roman"/>
                                  <w:color w:val="000000"/>
                                  <w:sz w:val="18"/>
                                  <w:szCs w:val="18"/>
                                  <w:lang w:eastAsia="tr-TR"/>
                                </w:rPr>
                                <w:t>dampingli</w:t>
                              </w:r>
                              <w:proofErr w:type="gramEnd"/>
                              <w:r w:rsidRPr="007049B7">
                                <w:rPr>
                                  <w:rFonts w:ascii="Verdana" w:eastAsia="Times New Roman" w:hAnsi="Verdana" w:cs="Times New Roman"/>
                                  <w:color w:val="000000"/>
                                  <w:sz w:val="18"/>
                                  <w:szCs w:val="18"/>
                                  <w:lang w:eastAsia="tr-TR"/>
                                </w:rPr>
                                <w:t> olduğu ve yerli üretim dalında maddi zarar tehdidine neden olduğu tespit edilmiştir. Soruşturma kapsamındaki bilgi, bulgu ve tespitleri içeren ve bu Tebliğin hukuken bir parçası olan Bilgilendirme Raporu’na “www.tpsa.gov.tr” internet adresinden Damping ve Sübvansiyon- Bilgilendirme Raporları bağlantıları seçilerek ulaşılması mümkündür.</w:t>
                              </w:r>
                            </w:p>
                            <w:p w:rsidR="007049B7" w:rsidRPr="007049B7" w:rsidRDefault="007049B7" w:rsidP="007049B7">
                              <w:pPr>
                                <w:spacing w:after="0" w:line="240" w:lineRule="atLeast"/>
                                <w:ind w:firstLine="566"/>
                                <w:jc w:val="both"/>
                                <w:rPr>
                                  <w:rFonts w:ascii="Times New Roman" w:eastAsia="Times New Roman" w:hAnsi="Times New Roman" w:cs="Times New Roman"/>
                                  <w:color w:val="000000"/>
                                  <w:sz w:val="19"/>
                                  <w:szCs w:val="19"/>
                                  <w:lang w:eastAsia="tr-TR"/>
                                </w:rPr>
                              </w:pPr>
                              <w:r w:rsidRPr="007049B7">
                                <w:rPr>
                                  <w:rFonts w:ascii="Verdana" w:eastAsia="Times New Roman" w:hAnsi="Verdana" w:cs="Times New Roman"/>
                                  <w:color w:val="000000"/>
                                  <w:sz w:val="20"/>
                                  <w:szCs w:val="20"/>
                                  <w:lang w:eastAsia="tr-TR"/>
                                </w:rPr>
                                <w:t>(2) Bu çerçevede, soruşturma neticesinde ulaşılan tespitleri değerlendiren Kurul’un kararı ve Ekonomi Bakanı’nın onayı ile tabloda GTP/</w:t>
                              </w:r>
                              <w:proofErr w:type="spellStart"/>
                              <w:r w:rsidRPr="007049B7">
                                <w:rPr>
                                  <w:rFonts w:ascii="Verdana" w:eastAsia="Times New Roman" w:hAnsi="Verdana" w:cs="Times New Roman"/>
                                  <w:color w:val="000000"/>
                                  <w:sz w:val="20"/>
                                  <w:szCs w:val="20"/>
                                  <w:lang w:eastAsia="tr-TR"/>
                                </w:rPr>
                                <w:t>GTİP’i</w:t>
                              </w:r>
                              <w:proofErr w:type="spellEnd"/>
                              <w:r w:rsidRPr="007049B7">
                                <w:rPr>
                                  <w:rFonts w:ascii="Verdana" w:eastAsia="Times New Roman" w:hAnsi="Verdana" w:cs="Times New Roman"/>
                                  <w:color w:val="000000"/>
                                  <w:sz w:val="20"/>
                                  <w:szCs w:val="20"/>
                                  <w:lang w:eastAsia="tr-TR"/>
                                </w:rPr>
                                <w:t>, eşya tanımı ve menşe ülkesi belirtilen eşyanın Türkiye’ye ithalatında, tabloda gösterilen oranda </w:t>
                              </w:r>
                              <w:proofErr w:type="gramStart"/>
                              <w:r w:rsidRPr="007049B7">
                                <w:rPr>
                                  <w:rFonts w:ascii="Verdana" w:eastAsia="Times New Roman" w:hAnsi="Verdana" w:cs="Times New Roman"/>
                                  <w:color w:val="000000"/>
                                  <w:sz w:val="20"/>
                                  <w:szCs w:val="20"/>
                                  <w:lang w:eastAsia="tr-TR"/>
                                </w:rPr>
                                <w:t>dampinge</w:t>
                              </w:r>
                              <w:proofErr w:type="gramEnd"/>
                              <w:r w:rsidRPr="007049B7">
                                <w:rPr>
                                  <w:rFonts w:ascii="Verdana" w:eastAsia="Times New Roman" w:hAnsi="Verdana" w:cs="Times New Roman"/>
                                  <w:color w:val="000000"/>
                                  <w:sz w:val="20"/>
                                  <w:szCs w:val="20"/>
                                  <w:lang w:eastAsia="tr-TR"/>
                                </w:rPr>
                                <w:t> karşı kesin önlem uygulanmasına karar verilmiştir.</w:t>
                              </w:r>
                            </w:p>
                            <w:p w:rsidR="007049B7" w:rsidRPr="007049B7" w:rsidRDefault="007049B7" w:rsidP="007049B7">
                              <w:pPr>
                                <w:spacing w:after="0" w:line="240" w:lineRule="auto"/>
                                <w:jc w:val="center"/>
                                <w:rPr>
                                  <w:rFonts w:ascii="Times New Roman" w:eastAsia="Times New Roman" w:hAnsi="Times New Roman" w:cs="Times New Roman"/>
                                  <w:color w:val="000000"/>
                                  <w:sz w:val="19"/>
                                  <w:szCs w:val="19"/>
                                  <w:lang w:eastAsia="tr-TR"/>
                                </w:rPr>
                              </w:pPr>
                              <w:r w:rsidRPr="007049B7">
                                <w:rPr>
                                  <w:rFonts w:ascii="Verdana" w:eastAsia="Times New Roman" w:hAnsi="Verdana" w:cs="Times New Roman"/>
                                  <w:noProof/>
                                  <w:color w:val="000000"/>
                                  <w:sz w:val="20"/>
                                  <w:szCs w:val="20"/>
                                  <w:lang w:eastAsia="tr-TR"/>
                                </w:rPr>
                                <w:drawing>
                                  <wp:inline distT="0" distB="0" distL="0" distR="0" wp14:anchorId="57063A15" wp14:editId="6ABA2CC4">
                                    <wp:extent cx="4429125" cy="1447800"/>
                                    <wp:effectExtent l="0" t="0" r="9525" b="0"/>
                                    <wp:docPr id="1" name="Resim 1" descr="http://www.resmigazete.gov.tr/eskiler/2017/10/20171020-8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migazete.gov.tr/eskiler/2017/10/20171020-8_dosyalar/image0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9125" cy="1447800"/>
                                            </a:xfrm>
                                            <a:prstGeom prst="rect">
                                              <a:avLst/>
                                            </a:prstGeom>
                                            <a:noFill/>
                                            <a:ln>
                                              <a:noFill/>
                                            </a:ln>
                                          </pic:spPr>
                                        </pic:pic>
                                      </a:graphicData>
                                    </a:graphic>
                                  </wp:inline>
                                </w:drawing>
                              </w:r>
                            </w:p>
                            <w:p w:rsidR="007049B7" w:rsidRPr="007049B7" w:rsidRDefault="007049B7" w:rsidP="007049B7">
                              <w:pPr>
                                <w:spacing w:after="0" w:line="240" w:lineRule="atLeast"/>
                                <w:ind w:firstLine="566"/>
                                <w:jc w:val="both"/>
                                <w:rPr>
                                  <w:rFonts w:ascii="Times New Roman" w:eastAsia="Times New Roman" w:hAnsi="Times New Roman" w:cs="Times New Roman"/>
                                  <w:color w:val="000000"/>
                                  <w:sz w:val="19"/>
                                  <w:szCs w:val="19"/>
                                  <w:lang w:eastAsia="tr-TR"/>
                                </w:rPr>
                              </w:pPr>
                              <w:r w:rsidRPr="007049B7">
                                <w:rPr>
                                  <w:rFonts w:ascii="Verdana" w:eastAsia="Times New Roman" w:hAnsi="Verdana" w:cs="Times New Roman"/>
                                  <w:b/>
                                  <w:bCs/>
                                  <w:color w:val="000000"/>
                                  <w:sz w:val="18"/>
                                  <w:szCs w:val="18"/>
                                  <w:lang w:eastAsia="tr-TR"/>
                                </w:rPr>
                                <w:t>Uygulama</w:t>
                              </w:r>
                            </w:p>
                            <w:p w:rsidR="007049B7" w:rsidRPr="007049B7" w:rsidRDefault="007049B7" w:rsidP="007049B7">
                              <w:pPr>
                                <w:spacing w:after="0" w:line="240" w:lineRule="atLeast"/>
                                <w:ind w:firstLine="566"/>
                                <w:jc w:val="both"/>
                                <w:rPr>
                                  <w:rFonts w:ascii="Times New Roman" w:eastAsia="Times New Roman" w:hAnsi="Times New Roman" w:cs="Times New Roman"/>
                                  <w:color w:val="000000"/>
                                  <w:sz w:val="19"/>
                                  <w:szCs w:val="19"/>
                                  <w:lang w:eastAsia="tr-TR"/>
                                </w:rPr>
                              </w:pPr>
                              <w:r w:rsidRPr="007049B7">
                                <w:rPr>
                                  <w:rFonts w:ascii="Verdana" w:eastAsia="Times New Roman" w:hAnsi="Verdana" w:cs="Times New Roman"/>
                                  <w:b/>
                                  <w:bCs/>
                                  <w:color w:val="000000"/>
                                  <w:sz w:val="18"/>
                                  <w:szCs w:val="18"/>
                                  <w:lang w:eastAsia="tr-TR"/>
                                </w:rPr>
                                <w:t>MADDE 5 –</w:t>
                              </w:r>
                              <w:r w:rsidRPr="007049B7">
                                <w:rPr>
                                  <w:rFonts w:ascii="Verdana" w:eastAsia="Times New Roman" w:hAnsi="Verdana" w:cs="Times New Roman"/>
                                  <w:color w:val="000000"/>
                                  <w:sz w:val="18"/>
                                  <w:szCs w:val="18"/>
                                  <w:lang w:eastAsia="tr-TR"/>
                                </w:rPr>
                                <w:t> (1) Gümrük idareleri, 4 üncü maddede GTP/GTİP, eşya tanımı ve menşe ülkesi belirtilen eşyanın, diğer mevzuat hükümleri saklı kalmak kaydıyla, serbest dolaşıma giriş rejimi kapsamındaki ithalatında karşısında gösterilen oranda </w:t>
                              </w:r>
                              <w:proofErr w:type="gramStart"/>
                              <w:r w:rsidRPr="007049B7">
                                <w:rPr>
                                  <w:rFonts w:ascii="Verdana" w:eastAsia="Times New Roman" w:hAnsi="Verdana" w:cs="Times New Roman"/>
                                  <w:color w:val="000000"/>
                                  <w:sz w:val="18"/>
                                  <w:szCs w:val="18"/>
                                  <w:lang w:eastAsia="tr-TR"/>
                                </w:rPr>
                                <w:t>dampinge</w:t>
                              </w:r>
                              <w:proofErr w:type="gramEnd"/>
                              <w:r w:rsidRPr="007049B7">
                                <w:rPr>
                                  <w:rFonts w:ascii="Verdana" w:eastAsia="Times New Roman" w:hAnsi="Verdana" w:cs="Times New Roman"/>
                                  <w:color w:val="000000"/>
                                  <w:sz w:val="18"/>
                                  <w:szCs w:val="18"/>
                                  <w:lang w:eastAsia="tr-TR"/>
                                </w:rPr>
                                <w:t> karşı kesin önlemi tahsil ederler.</w:t>
                              </w:r>
                            </w:p>
                            <w:p w:rsidR="007049B7" w:rsidRPr="007049B7" w:rsidRDefault="007049B7" w:rsidP="007049B7">
                              <w:pPr>
                                <w:spacing w:after="0" w:line="240" w:lineRule="atLeast"/>
                                <w:ind w:firstLine="566"/>
                                <w:jc w:val="both"/>
                                <w:rPr>
                                  <w:rFonts w:ascii="Times New Roman" w:eastAsia="Times New Roman" w:hAnsi="Times New Roman" w:cs="Times New Roman"/>
                                  <w:color w:val="000000"/>
                                  <w:sz w:val="19"/>
                                  <w:szCs w:val="19"/>
                                  <w:lang w:eastAsia="tr-TR"/>
                                </w:rPr>
                              </w:pPr>
                              <w:r w:rsidRPr="007049B7">
                                <w:rPr>
                                  <w:rFonts w:ascii="Verdana" w:eastAsia="Times New Roman" w:hAnsi="Verdana" w:cs="Times New Roman"/>
                                  <w:color w:val="000000"/>
                                  <w:sz w:val="20"/>
                                  <w:szCs w:val="20"/>
                                  <w:lang w:eastAsia="tr-TR"/>
                                </w:rPr>
                                <w:t>(2) Bilgilendirme raporunda soruşturma konusu ürün ve benzer ürün ile ilgili açıklamalar genel içerikli olup uygulamaya esas olan yürürlükteki </w:t>
                              </w:r>
                              <w:proofErr w:type="spellStart"/>
                              <w:r w:rsidRPr="007049B7">
                                <w:rPr>
                                  <w:rFonts w:ascii="Verdana" w:eastAsia="Times New Roman" w:hAnsi="Verdana" w:cs="Times New Roman"/>
                                  <w:color w:val="000000"/>
                                  <w:sz w:val="20"/>
                                  <w:szCs w:val="20"/>
                                  <w:lang w:eastAsia="tr-TR"/>
                                </w:rPr>
                                <w:t>TGTC’de</w:t>
                              </w:r>
                              <w:proofErr w:type="spellEnd"/>
                              <w:r w:rsidRPr="007049B7">
                                <w:rPr>
                                  <w:rFonts w:ascii="Verdana" w:eastAsia="Times New Roman" w:hAnsi="Verdana" w:cs="Times New Roman"/>
                                  <w:color w:val="000000"/>
                                  <w:sz w:val="20"/>
                                  <w:szCs w:val="20"/>
                                  <w:lang w:eastAsia="tr-TR"/>
                                </w:rPr>
                                <w:t> yer alan GTP/GTİP ve 4 üncü maddede yer alan tabloda gösterilen eşya tanımıdır.</w:t>
                              </w:r>
                            </w:p>
                            <w:p w:rsidR="007049B7" w:rsidRPr="007049B7" w:rsidRDefault="007049B7" w:rsidP="007049B7">
                              <w:pPr>
                                <w:spacing w:after="0" w:line="240" w:lineRule="atLeast"/>
                                <w:ind w:firstLine="566"/>
                                <w:jc w:val="both"/>
                                <w:rPr>
                                  <w:rFonts w:ascii="Times New Roman" w:eastAsia="Times New Roman" w:hAnsi="Times New Roman" w:cs="Times New Roman"/>
                                  <w:color w:val="000000"/>
                                  <w:sz w:val="19"/>
                                  <w:szCs w:val="19"/>
                                  <w:lang w:eastAsia="tr-TR"/>
                                </w:rPr>
                              </w:pPr>
                              <w:r w:rsidRPr="007049B7">
                                <w:rPr>
                                  <w:rFonts w:ascii="Verdana" w:eastAsia="Times New Roman" w:hAnsi="Verdana" w:cs="Times New Roman"/>
                                  <w:color w:val="000000"/>
                                  <w:sz w:val="20"/>
                                  <w:szCs w:val="20"/>
                                  <w:lang w:eastAsia="tr-TR"/>
                                </w:rPr>
                                <w:t>(3) Önleme tabi ürünün yürürlükteki </w:t>
                              </w:r>
                              <w:proofErr w:type="spellStart"/>
                              <w:r w:rsidRPr="007049B7">
                                <w:rPr>
                                  <w:rFonts w:ascii="Verdana" w:eastAsia="Times New Roman" w:hAnsi="Verdana" w:cs="Times New Roman"/>
                                  <w:color w:val="000000"/>
                                  <w:sz w:val="20"/>
                                  <w:szCs w:val="20"/>
                                  <w:lang w:eastAsia="tr-TR"/>
                                </w:rPr>
                                <w:t>TGTC’de</w:t>
                              </w:r>
                              <w:proofErr w:type="spellEnd"/>
                              <w:r w:rsidRPr="007049B7">
                                <w:rPr>
                                  <w:rFonts w:ascii="Verdana" w:eastAsia="Times New Roman" w:hAnsi="Verdana" w:cs="Times New Roman"/>
                                  <w:color w:val="000000"/>
                                  <w:sz w:val="20"/>
                                  <w:szCs w:val="20"/>
                                  <w:lang w:eastAsia="tr-TR"/>
                                </w:rPr>
                                <w:t> yer alan tarife pozisyonunda ve/veya tanımında yapılacak değişiklikler bu Tebliğ hükümlerinin uygulanmasına engel teşkil etmez.</w:t>
                              </w:r>
                            </w:p>
                            <w:p w:rsidR="007049B7" w:rsidRPr="007049B7" w:rsidRDefault="007049B7" w:rsidP="007049B7">
                              <w:pPr>
                                <w:spacing w:after="0" w:line="240" w:lineRule="atLeast"/>
                                <w:ind w:firstLine="566"/>
                                <w:jc w:val="both"/>
                                <w:rPr>
                                  <w:rFonts w:ascii="Times New Roman" w:eastAsia="Times New Roman" w:hAnsi="Times New Roman" w:cs="Times New Roman"/>
                                  <w:color w:val="000000"/>
                                  <w:sz w:val="19"/>
                                  <w:szCs w:val="19"/>
                                  <w:lang w:eastAsia="tr-TR"/>
                                </w:rPr>
                              </w:pPr>
                              <w:r w:rsidRPr="007049B7">
                                <w:rPr>
                                  <w:rFonts w:ascii="Verdana" w:eastAsia="Times New Roman" w:hAnsi="Verdana" w:cs="Times New Roman"/>
                                  <w:b/>
                                  <w:bCs/>
                                  <w:color w:val="000000"/>
                                  <w:sz w:val="20"/>
                                  <w:szCs w:val="20"/>
                                  <w:lang w:eastAsia="tr-TR"/>
                                </w:rPr>
                                <w:t>Yürürlük</w:t>
                              </w:r>
                            </w:p>
                            <w:p w:rsidR="007049B7" w:rsidRPr="007049B7" w:rsidRDefault="007049B7" w:rsidP="007049B7">
                              <w:pPr>
                                <w:spacing w:after="0" w:line="240" w:lineRule="atLeast"/>
                                <w:ind w:firstLine="566"/>
                                <w:jc w:val="both"/>
                                <w:rPr>
                                  <w:rFonts w:ascii="Times New Roman" w:eastAsia="Times New Roman" w:hAnsi="Times New Roman" w:cs="Times New Roman"/>
                                  <w:color w:val="000000"/>
                                  <w:sz w:val="19"/>
                                  <w:szCs w:val="19"/>
                                  <w:lang w:eastAsia="tr-TR"/>
                                </w:rPr>
                              </w:pPr>
                              <w:r w:rsidRPr="007049B7">
                                <w:rPr>
                                  <w:rFonts w:ascii="Verdana" w:eastAsia="Times New Roman" w:hAnsi="Verdana" w:cs="Times New Roman"/>
                                  <w:b/>
                                  <w:bCs/>
                                  <w:color w:val="000000"/>
                                  <w:sz w:val="18"/>
                                  <w:szCs w:val="18"/>
                                  <w:lang w:eastAsia="tr-TR"/>
                                </w:rPr>
                                <w:t>MADDE 6 –</w:t>
                              </w:r>
                              <w:r w:rsidRPr="007049B7">
                                <w:rPr>
                                  <w:rFonts w:ascii="Verdana" w:eastAsia="Times New Roman" w:hAnsi="Verdana" w:cs="Times New Roman"/>
                                  <w:color w:val="000000"/>
                                  <w:sz w:val="18"/>
                                  <w:szCs w:val="18"/>
                                  <w:lang w:eastAsia="tr-TR"/>
                                </w:rPr>
                                <w:t> (1) Bu Tebliğ yayımı tarihinde yürürlüğe girer.</w:t>
                              </w:r>
                            </w:p>
                            <w:p w:rsidR="007049B7" w:rsidRPr="007049B7" w:rsidRDefault="007049B7" w:rsidP="007049B7">
                              <w:pPr>
                                <w:spacing w:after="0" w:line="240" w:lineRule="atLeast"/>
                                <w:ind w:firstLine="566"/>
                                <w:jc w:val="both"/>
                                <w:rPr>
                                  <w:rFonts w:ascii="Times New Roman" w:eastAsia="Times New Roman" w:hAnsi="Times New Roman" w:cs="Times New Roman"/>
                                  <w:color w:val="000000"/>
                                  <w:sz w:val="19"/>
                                  <w:szCs w:val="19"/>
                                  <w:lang w:eastAsia="tr-TR"/>
                                </w:rPr>
                              </w:pPr>
                              <w:r w:rsidRPr="007049B7">
                                <w:rPr>
                                  <w:rFonts w:ascii="Verdana" w:eastAsia="Times New Roman" w:hAnsi="Verdana" w:cs="Times New Roman"/>
                                  <w:b/>
                                  <w:bCs/>
                                  <w:color w:val="000000"/>
                                  <w:sz w:val="20"/>
                                  <w:szCs w:val="20"/>
                                  <w:lang w:eastAsia="tr-TR"/>
                                </w:rPr>
                                <w:t>Yürütme</w:t>
                              </w:r>
                            </w:p>
                            <w:p w:rsidR="007049B7" w:rsidRPr="007049B7" w:rsidRDefault="007049B7" w:rsidP="007049B7">
                              <w:pPr>
                                <w:spacing w:after="0" w:line="240" w:lineRule="atLeast"/>
                                <w:ind w:firstLine="566"/>
                                <w:jc w:val="both"/>
                                <w:rPr>
                                  <w:rFonts w:ascii="Times New Roman" w:eastAsia="Times New Roman" w:hAnsi="Times New Roman" w:cs="Times New Roman"/>
                                  <w:color w:val="000000"/>
                                  <w:sz w:val="19"/>
                                  <w:szCs w:val="19"/>
                                  <w:lang w:eastAsia="tr-TR"/>
                                </w:rPr>
                              </w:pPr>
                              <w:r w:rsidRPr="007049B7">
                                <w:rPr>
                                  <w:rFonts w:ascii="Verdana" w:eastAsia="Times New Roman" w:hAnsi="Verdana" w:cs="Times New Roman"/>
                                  <w:b/>
                                  <w:bCs/>
                                  <w:color w:val="000000"/>
                                  <w:sz w:val="18"/>
                                  <w:szCs w:val="18"/>
                                  <w:lang w:eastAsia="tr-TR"/>
                                </w:rPr>
                                <w:t>MADDE 7 –</w:t>
                              </w:r>
                              <w:r w:rsidRPr="007049B7">
                                <w:rPr>
                                  <w:rFonts w:ascii="Verdana" w:eastAsia="Times New Roman" w:hAnsi="Verdana" w:cs="Times New Roman"/>
                                  <w:color w:val="000000"/>
                                  <w:sz w:val="18"/>
                                  <w:szCs w:val="18"/>
                                  <w:lang w:eastAsia="tr-TR"/>
                                </w:rPr>
                                <w:t> (1) Bu Tebliğ hükümlerini Ekonomi Bakanı yürütür.</w:t>
                              </w:r>
                            </w:p>
                          </w:tc>
                        </w:tr>
                      </w:tbl>
                      <w:p w:rsidR="007049B7" w:rsidRPr="007049B7" w:rsidRDefault="007049B7" w:rsidP="007049B7">
                        <w:pPr>
                          <w:spacing w:after="0" w:line="240" w:lineRule="auto"/>
                          <w:rPr>
                            <w:rFonts w:ascii="Verdana" w:eastAsia="Times New Roman" w:hAnsi="Verdana" w:cs="Times New Roman"/>
                            <w:color w:val="FFFFFF"/>
                            <w:sz w:val="18"/>
                            <w:szCs w:val="18"/>
                            <w:lang w:eastAsia="tr-TR"/>
                          </w:rPr>
                        </w:pPr>
                      </w:p>
                    </w:tc>
                  </w:tr>
                  <w:tr w:rsidR="007049B7" w:rsidRPr="007049B7" w:rsidTr="007049B7">
                    <w:trPr>
                      <w:trHeight w:val="180"/>
                      <w:tblCellSpacing w:w="0" w:type="dxa"/>
                      <w:hidden/>
                    </w:trPr>
                    <w:tc>
                      <w:tcPr>
                        <w:tcW w:w="0" w:type="auto"/>
                        <w:shd w:val="clear" w:color="auto" w:fill="104E83"/>
                        <w:hideMark/>
                      </w:tcPr>
                      <w:p w:rsidR="007049B7" w:rsidRPr="007049B7" w:rsidRDefault="007049B7" w:rsidP="007049B7">
                        <w:pPr>
                          <w:spacing w:after="0" w:line="240" w:lineRule="auto"/>
                          <w:rPr>
                            <w:rFonts w:ascii="Verdana" w:eastAsia="Times New Roman" w:hAnsi="Verdana" w:cs="Times New Roman"/>
                            <w:vanish/>
                            <w:color w:val="FFFFFF"/>
                            <w:sz w:val="18"/>
                            <w:szCs w:val="18"/>
                            <w:lang w:eastAsia="tr-TR"/>
                          </w:rPr>
                        </w:pPr>
                        <w:r w:rsidRPr="007049B7">
                          <w:rPr>
                            <w:rFonts w:ascii="Verdana" w:eastAsia="Times New Roman" w:hAnsi="Verdana" w:cs="Times New Roman"/>
                            <w:vanish/>
                            <w:color w:val="FFFFFF"/>
                            <w:sz w:val="18"/>
                            <w:szCs w:val="18"/>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5" o:title=""/>
                            </v:shape>
                            <w:control r:id="rId6" w:name="DefaultOcxName" w:shapeid="_x0000_i1038"/>
                          </w:object>
                        </w:r>
                        <w:r w:rsidRPr="007049B7">
                          <w:rPr>
                            <w:rFonts w:ascii="Verdana" w:eastAsia="Times New Roman" w:hAnsi="Verdana" w:cs="Times New Roman"/>
                            <w:vanish/>
                            <w:color w:val="FFFFFF"/>
                            <w:sz w:val="18"/>
                            <w:szCs w:val="18"/>
                            <w:lang w:eastAsia="tr-TR"/>
                          </w:rPr>
                          <w:t>  İlgili Mevzuatları Göster</w:t>
                        </w:r>
                      </w:p>
                    </w:tc>
                  </w:tr>
                  <w:tr w:rsidR="007049B7" w:rsidRPr="007049B7" w:rsidTr="007049B7">
                    <w:trPr>
                      <w:trHeight w:val="180"/>
                      <w:tblCellSpacing w:w="0" w:type="dxa"/>
                      <w:hidden/>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7049B7" w:rsidRPr="007049B7">
                          <w:trPr>
                            <w:hidden/>
                          </w:trPr>
                          <w:tc>
                            <w:tcPr>
                              <w:tcW w:w="0" w:type="auto"/>
                              <w:vAlign w:val="center"/>
                              <w:hideMark/>
                            </w:tcPr>
                            <w:p w:rsidR="007049B7" w:rsidRPr="007049B7" w:rsidRDefault="007049B7" w:rsidP="007049B7">
                              <w:pPr>
                                <w:spacing w:after="0" w:line="240" w:lineRule="auto"/>
                                <w:rPr>
                                  <w:rFonts w:ascii="Verdana" w:eastAsia="Times New Roman" w:hAnsi="Verdana" w:cs="Times New Roman"/>
                                  <w:vanish/>
                                  <w:color w:val="FFFFFF"/>
                                  <w:sz w:val="18"/>
                                  <w:szCs w:val="18"/>
                                  <w:lang w:eastAsia="tr-TR"/>
                                </w:rPr>
                              </w:pPr>
                            </w:p>
                          </w:tc>
                        </w:tr>
                      </w:tbl>
                      <w:p w:rsidR="007049B7" w:rsidRPr="007049B7" w:rsidRDefault="007049B7" w:rsidP="007049B7">
                        <w:pPr>
                          <w:spacing w:after="0" w:line="240" w:lineRule="auto"/>
                          <w:rPr>
                            <w:rFonts w:ascii="Verdana" w:eastAsia="Times New Roman" w:hAnsi="Verdana" w:cs="Times New Roman"/>
                            <w:vanish/>
                            <w:color w:val="7AA6D3"/>
                            <w:sz w:val="18"/>
                            <w:szCs w:val="18"/>
                            <w:lang w:eastAsia="tr-TR"/>
                          </w:rPr>
                        </w:pPr>
                      </w:p>
                    </w:tc>
                  </w:tr>
                </w:tbl>
                <w:p w:rsidR="007049B7" w:rsidRPr="007049B7" w:rsidRDefault="007049B7" w:rsidP="007049B7">
                  <w:pPr>
                    <w:spacing w:after="0" w:line="240" w:lineRule="auto"/>
                    <w:rPr>
                      <w:rFonts w:ascii="Times New Roman" w:eastAsia="Times New Roman" w:hAnsi="Times New Roman" w:cs="Times New Roman"/>
                      <w:sz w:val="24"/>
                      <w:szCs w:val="24"/>
                      <w:lang w:eastAsia="tr-TR"/>
                    </w:rPr>
                  </w:pPr>
                  <w:bookmarkStart w:id="0" w:name="_GoBack"/>
                  <w:bookmarkEnd w:id="0"/>
                </w:p>
              </w:tc>
            </w:tr>
          </w:tbl>
          <w:p w:rsidR="007049B7" w:rsidRPr="007049B7" w:rsidRDefault="007049B7" w:rsidP="007049B7">
            <w:pPr>
              <w:spacing w:after="0" w:line="240" w:lineRule="auto"/>
              <w:rPr>
                <w:rFonts w:ascii="Times New Roman" w:eastAsia="Times New Roman" w:hAnsi="Times New Roman" w:cs="Times New Roman"/>
                <w:sz w:val="24"/>
                <w:szCs w:val="24"/>
                <w:lang w:eastAsia="tr-TR"/>
              </w:rPr>
            </w:pPr>
          </w:p>
        </w:tc>
      </w:tr>
    </w:tbl>
    <w:p w:rsidR="007049B7" w:rsidRPr="007049B7" w:rsidRDefault="007049B7" w:rsidP="007049B7">
      <w:pPr>
        <w:spacing w:after="0" w:line="240" w:lineRule="auto"/>
        <w:rPr>
          <w:rFonts w:ascii="Times New Roman" w:eastAsia="Times New Roman" w:hAnsi="Times New Roman" w:cs="Times New Roman"/>
          <w:sz w:val="24"/>
          <w:szCs w:val="24"/>
          <w:lang w:eastAsia="tr-TR"/>
        </w:rPr>
      </w:pPr>
      <w:r w:rsidRPr="007049B7">
        <w:rPr>
          <w:rFonts w:ascii="Times New Roman" w:eastAsia="Times New Roman" w:hAnsi="Times New Roman" w:cs="Times New Roman"/>
          <w:sz w:val="24"/>
          <w:szCs w:val="24"/>
          <w:lang w:eastAsia="tr-TR"/>
        </w:rPr>
        <w:t xml:space="preserve">    </w:t>
      </w:r>
    </w:p>
    <w:p w:rsidR="007049B7" w:rsidRPr="007049B7" w:rsidRDefault="007049B7" w:rsidP="007049B7">
      <w:pPr>
        <w:spacing w:after="0" w:line="240" w:lineRule="auto"/>
        <w:rPr>
          <w:rFonts w:ascii="Times New Roman" w:eastAsia="Times New Roman" w:hAnsi="Times New Roman" w:cs="Times New Roman"/>
          <w:vanish/>
          <w:sz w:val="24"/>
          <w:szCs w:val="24"/>
          <w:lang w:eastAsia="tr-TR"/>
        </w:rPr>
      </w:pPr>
      <w:r w:rsidRPr="007049B7">
        <w:rPr>
          <w:rFonts w:ascii="Times New Roman" w:eastAsia="Times New Roman" w:hAnsi="Times New Roman" w:cs="Times New Roman"/>
          <w:vanish/>
          <w:sz w:val="24"/>
          <w:szCs w:val="24"/>
          <w:lang w:eastAsia="tr-TR"/>
        </w:rPr>
        <w:object w:dxaOrig="1440" w:dyaOrig="1440">
          <v:shape id="_x0000_i1036" type="#_x0000_t75" style="width:36pt;height:22.5pt" o:ole="">
            <v:imagedata r:id="rId7" o:title=""/>
          </v:shape>
          <w:control r:id="rId8" w:name="DefaultOcxName2" w:shapeid="_x0000_i1036"/>
        </w:object>
      </w:r>
      <w:r w:rsidRPr="007049B7">
        <w:rPr>
          <w:rFonts w:ascii="Times New Roman" w:eastAsia="Times New Roman" w:hAnsi="Times New Roman" w:cs="Times New Roman"/>
          <w:vanish/>
          <w:sz w:val="24"/>
          <w:szCs w:val="24"/>
          <w:lang w:eastAsia="tr-TR"/>
        </w:rPr>
        <w:object w:dxaOrig="1440" w:dyaOrig="1440">
          <v:shape id="_x0000_i1035" type="#_x0000_t75" style="width:1in;height:18pt" o:ole="">
            <v:imagedata r:id="rId9" o:title=""/>
          </v:shape>
          <w:control r:id="rId10" w:name="DefaultOcxName3" w:shapeid="_x0000_i1035"/>
        </w:object>
      </w:r>
    </w:p>
    <w:p w:rsidR="009C066E" w:rsidRDefault="007049B7" w:rsidP="007049B7">
      <w:r w:rsidRPr="007049B7">
        <w:rPr>
          <w:rFonts w:ascii="Times New Roman" w:eastAsia="Times New Roman" w:hAnsi="Times New Roman" w:cs="Times New Roman"/>
          <w:vanish/>
          <w:sz w:val="24"/>
          <w:szCs w:val="24"/>
          <w:lang w:eastAsia="tr-TR"/>
        </w:rPr>
        <w:pict/>
      </w:r>
    </w:p>
    <w:sectPr w:rsidR="009C06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2D"/>
    <w:rsid w:val="007049B7"/>
    <w:rsid w:val="009C066E"/>
    <w:rsid w:val="00E279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49DA"/>
  <w15:chartTrackingRefBased/>
  <w15:docId w15:val="{78091C7F-2526-4E4A-B8A1-918356CC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773549">
      <w:bodyDiv w:val="1"/>
      <w:marLeft w:val="0"/>
      <w:marRight w:val="0"/>
      <w:marTop w:val="0"/>
      <w:marBottom w:val="0"/>
      <w:divBdr>
        <w:top w:val="none" w:sz="0" w:space="0" w:color="auto"/>
        <w:left w:val="none" w:sz="0" w:space="0" w:color="auto"/>
        <w:bottom w:val="none" w:sz="0" w:space="0" w:color="auto"/>
        <w:right w:val="none" w:sz="0" w:space="0" w:color="auto"/>
      </w:divBdr>
      <w:divsChild>
        <w:div w:id="17899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control" Target="activeX/activeX3.xml"/><Relationship Id="rId4" Type="http://schemas.openxmlformats.org/officeDocument/2006/relationships/image" Target="media/image1.gif"/><Relationship Id="rId9"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3111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2017-10-20T05:57:00Z</dcterms:created>
  <dcterms:modified xsi:type="dcterms:W3CDTF">2017-10-20T05:57:00Z</dcterms:modified>
</cp:coreProperties>
</file>