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9072"/>
      </w:tblGrid>
      <w:tr w:rsidR="00B9221E" w:rsidRPr="00B9221E" w14:paraId="5A28FC04" w14:textId="7777777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B9221E" w:rsidRPr="00B9221E" w14:paraId="20BCB476"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759DC2E7" w14:textId="77777777" w:rsidR="00B9221E" w:rsidRPr="00B9221E" w:rsidRDefault="00B9221E" w:rsidP="00B9221E">
                  <w:pPr>
                    <w:spacing w:after="0" w:line="240" w:lineRule="atLeast"/>
                    <w:rPr>
                      <w:rFonts w:ascii="Times New Roman" w:eastAsia="Times New Roman" w:hAnsi="Times New Roman" w:cs="Times New Roman"/>
                      <w:kern w:val="0"/>
                      <w:sz w:val="24"/>
                      <w:szCs w:val="24"/>
                      <w:lang w:eastAsia="tr-TR"/>
                      <w14:ligatures w14:val="none"/>
                    </w:rPr>
                  </w:pPr>
                  <w:r w:rsidRPr="00B9221E">
                    <w:rPr>
                      <w:rFonts w:ascii="Arial" w:eastAsia="Times New Roman" w:hAnsi="Arial" w:cs="Arial"/>
                      <w:kern w:val="0"/>
                      <w:sz w:val="16"/>
                      <w:szCs w:val="16"/>
                      <w:lang w:eastAsia="tr-TR"/>
                      <w14:ligatures w14:val="none"/>
                    </w:rPr>
                    <w:t>21 Ağustos 2026 CUMA</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404B1520" w14:textId="77777777" w:rsidR="00B9221E" w:rsidRPr="00B9221E" w:rsidRDefault="00B9221E" w:rsidP="00B9221E">
                  <w:pPr>
                    <w:spacing w:after="0" w:line="240" w:lineRule="atLeast"/>
                    <w:jc w:val="center"/>
                    <w:rPr>
                      <w:rFonts w:ascii="Times New Roman" w:eastAsia="Times New Roman" w:hAnsi="Times New Roman" w:cs="Times New Roman"/>
                      <w:kern w:val="0"/>
                      <w:sz w:val="24"/>
                      <w:szCs w:val="24"/>
                      <w:lang w:eastAsia="tr-TR"/>
                      <w14:ligatures w14:val="none"/>
                    </w:rPr>
                  </w:pPr>
                  <w:r w:rsidRPr="00B9221E">
                    <w:rPr>
                      <w:rFonts w:ascii="Palatino Linotype" w:eastAsia="Times New Roman" w:hAnsi="Palatino Linotype" w:cs="Times New Roman"/>
                      <w:b/>
                      <w:bCs/>
                      <w:color w:val="800000"/>
                      <w:kern w:val="0"/>
                      <w:sz w:val="24"/>
                      <w:szCs w:val="24"/>
                      <w:lang w:eastAsia="tr-TR"/>
                      <w14:ligatures w14:val="none"/>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1B76342F" w14:textId="77777777" w:rsidR="00B9221E" w:rsidRPr="00B9221E" w:rsidRDefault="00B9221E" w:rsidP="00B9221E">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B9221E">
                    <w:rPr>
                      <w:rFonts w:ascii="Arial" w:eastAsia="Times New Roman" w:hAnsi="Arial" w:cs="Arial"/>
                      <w:kern w:val="0"/>
                      <w:sz w:val="16"/>
                      <w:szCs w:val="16"/>
                      <w:lang w:eastAsia="tr-TR"/>
                      <w14:ligatures w14:val="none"/>
                    </w:rPr>
                    <w:t>Sayı : 33347</w:t>
                  </w:r>
                </w:p>
              </w:tc>
            </w:tr>
            <w:tr w:rsidR="00B9221E" w:rsidRPr="00B9221E" w14:paraId="49E22273" w14:textId="77777777">
              <w:trPr>
                <w:trHeight w:val="480"/>
                <w:jc w:val="center"/>
              </w:trPr>
              <w:tc>
                <w:tcPr>
                  <w:tcW w:w="8789" w:type="dxa"/>
                  <w:gridSpan w:val="3"/>
                  <w:tcMar>
                    <w:top w:w="0" w:type="dxa"/>
                    <w:left w:w="108" w:type="dxa"/>
                    <w:bottom w:w="0" w:type="dxa"/>
                    <w:right w:w="108" w:type="dxa"/>
                  </w:tcMar>
                  <w:vAlign w:val="center"/>
                  <w:hideMark/>
                </w:tcPr>
                <w:p w14:paraId="0263CDFD" w14:textId="77777777" w:rsidR="00B9221E" w:rsidRPr="00B9221E" w:rsidRDefault="00B9221E" w:rsidP="00B9221E">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B9221E">
                    <w:rPr>
                      <w:rFonts w:ascii="Arial" w:eastAsia="Times New Roman" w:hAnsi="Arial" w:cs="Arial"/>
                      <w:b/>
                      <w:bCs/>
                      <w:color w:val="000080"/>
                      <w:kern w:val="0"/>
                      <w:sz w:val="18"/>
                      <w:szCs w:val="18"/>
                      <w:lang w:eastAsia="tr-TR"/>
                      <w14:ligatures w14:val="none"/>
                    </w:rPr>
                    <w:t>TEBLİĞ</w:t>
                  </w:r>
                </w:p>
              </w:tc>
            </w:tr>
            <w:tr w:rsidR="00B9221E" w:rsidRPr="00B9221E" w14:paraId="25CB6168" w14:textId="77777777">
              <w:trPr>
                <w:trHeight w:val="480"/>
                <w:jc w:val="center"/>
              </w:trPr>
              <w:tc>
                <w:tcPr>
                  <w:tcW w:w="8789" w:type="dxa"/>
                  <w:gridSpan w:val="3"/>
                  <w:tcMar>
                    <w:top w:w="0" w:type="dxa"/>
                    <w:left w:w="108" w:type="dxa"/>
                    <w:bottom w:w="0" w:type="dxa"/>
                    <w:right w:w="108" w:type="dxa"/>
                  </w:tcMar>
                  <w:vAlign w:val="center"/>
                  <w:hideMark/>
                </w:tcPr>
                <w:p w14:paraId="035070D2"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u w:val="single"/>
                      <w:lang w:eastAsia="tr-TR"/>
                      <w14:ligatures w14:val="none"/>
                    </w:rPr>
                  </w:pPr>
                  <w:r w:rsidRPr="00B9221E">
                    <w:rPr>
                      <w:rFonts w:ascii="Times New Roman" w:eastAsia="Times New Roman" w:hAnsi="Times New Roman" w:cs="Times New Roman"/>
                      <w:kern w:val="0"/>
                      <w:sz w:val="18"/>
                      <w:szCs w:val="18"/>
                      <w:u w:val="single"/>
                      <w:lang w:eastAsia="tr-TR"/>
                      <w14:ligatures w14:val="none"/>
                    </w:rPr>
                    <w:t>Ticaret Bakanlığından:</w:t>
                  </w:r>
                </w:p>
                <w:p w14:paraId="4004E701" w14:textId="77777777" w:rsidR="00B9221E" w:rsidRPr="00B9221E" w:rsidRDefault="00B9221E" w:rsidP="00B9221E">
                  <w:pPr>
                    <w:spacing w:before="56" w:after="0" w:line="240" w:lineRule="atLeast"/>
                    <w:jc w:val="center"/>
                    <w:rPr>
                      <w:rFonts w:ascii="Times New Roman" w:eastAsia="Times New Roman" w:hAnsi="Times New Roman" w:cs="Times New Roman"/>
                      <w:b/>
                      <w:bCs/>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İTHALATTA HAKSIZ REKABETİN ÖNLENMESİNE İLİŞKİN TEBLİĞ</w:t>
                  </w:r>
                </w:p>
                <w:p w14:paraId="171EEC7B" w14:textId="77777777" w:rsidR="00B9221E" w:rsidRPr="00B9221E" w:rsidRDefault="00B9221E" w:rsidP="00B9221E">
                  <w:pPr>
                    <w:spacing w:after="0" w:line="240" w:lineRule="atLeast"/>
                    <w:jc w:val="center"/>
                    <w:rPr>
                      <w:rFonts w:ascii="Times New Roman" w:eastAsia="Times New Roman" w:hAnsi="Times New Roman" w:cs="Times New Roman"/>
                      <w:b/>
                      <w:bCs/>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(TEBLİĞ NO: 2026/30)</w:t>
                  </w:r>
                </w:p>
                <w:p w14:paraId="1862F05F" w14:textId="77777777" w:rsidR="00B9221E" w:rsidRPr="00B9221E" w:rsidRDefault="00B9221E" w:rsidP="00B9221E">
                  <w:pPr>
                    <w:spacing w:after="0" w:line="240" w:lineRule="atLeast"/>
                    <w:jc w:val="center"/>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 </w:t>
                  </w:r>
                </w:p>
                <w:p w14:paraId="26AC1D24"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Amaç ve kapsam</w:t>
                  </w:r>
                </w:p>
                <w:p w14:paraId="33E6C37F"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1- </w:t>
                  </w:r>
                  <w:r w:rsidRPr="00B9221E">
                    <w:rPr>
                      <w:rFonts w:ascii="Times New Roman" w:eastAsia="Times New Roman" w:hAnsi="Times New Roman" w:cs="Times New Roman"/>
                      <w:kern w:val="0"/>
                      <w:sz w:val="18"/>
                      <w:szCs w:val="18"/>
                      <w:lang w:eastAsia="tr-TR"/>
                      <w14:ligatures w14:val="none"/>
                    </w:rPr>
                    <w:t>(1) Bu Tebliğin amacı, “Bosch Home </w:t>
                  </w:r>
                  <w:proofErr w:type="spellStart"/>
                  <w:r w:rsidRPr="00B9221E">
                    <w:rPr>
                      <w:rFonts w:ascii="Times New Roman" w:eastAsia="Times New Roman" w:hAnsi="Times New Roman" w:cs="Times New Roman"/>
                      <w:kern w:val="0"/>
                      <w:sz w:val="18"/>
                      <w:szCs w:val="18"/>
                      <w:lang w:eastAsia="tr-TR"/>
                      <w14:ligatures w14:val="none"/>
                    </w:rPr>
                    <w:t>Comfort</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Malaysia</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xml:space="preserve">.” ünvanlı firma tarafından yapılan başvuruya ilişkin olarak gerçekleştirilen inceleme neticesinde, 28/2/2009 tarihli ve 27155 sayılı Resmî </w:t>
                  </w:r>
                  <w:proofErr w:type="spellStart"/>
                  <w:r w:rsidRPr="00B9221E">
                    <w:rPr>
                      <w:rFonts w:ascii="Times New Roman" w:eastAsia="Times New Roman" w:hAnsi="Times New Roman" w:cs="Times New Roman"/>
                      <w:kern w:val="0"/>
                      <w:sz w:val="18"/>
                      <w:szCs w:val="18"/>
                      <w:lang w:eastAsia="tr-TR"/>
                      <w14:ligatures w14:val="none"/>
                    </w:rPr>
                    <w:t>Gazete’de</w:t>
                  </w:r>
                  <w:proofErr w:type="spellEnd"/>
                  <w:r w:rsidRPr="00B9221E">
                    <w:rPr>
                      <w:rFonts w:ascii="Times New Roman" w:eastAsia="Times New Roman" w:hAnsi="Times New Roman" w:cs="Times New Roman"/>
                      <w:kern w:val="0"/>
                      <w:sz w:val="18"/>
                      <w:szCs w:val="18"/>
                      <w:lang w:eastAsia="tr-TR"/>
                      <w14:ligatures w14:val="none"/>
                    </w:rPr>
                    <w:t xml:space="preserve"> yayımlanan İthalatta Haksız Rekabetin Önlenmesine İlişkin Tebliğ (Tebliğ No: 2009/6) kapsamında Malezya’da yerleşik ilişkili olduğu “Hitachi Air Conditioning Products (M) Sdn. Bhd.” ünvanlı firmanın yararlandığı muafiyetin kendisi için değerlendirilmesine yönelik olarak kısmi ara gözden geçirme soruşturması açılması ve açılan soruşturmanın usul ve esaslarının belirlenmesidir.</w:t>
                  </w:r>
                </w:p>
                <w:p w14:paraId="36E6BBAD"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Dayanak</w:t>
                  </w:r>
                </w:p>
                <w:p w14:paraId="4CBA9BD6"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2- </w:t>
                  </w:r>
                  <w:r w:rsidRPr="00B9221E">
                    <w:rPr>
                      <w:rFonts w:ascii="Times New Roman" w:eastAsia="Times New Roman" w:hAnsi="Times New Roman" w:cs="Times New Roman"/>
                      <w:kern w:val="0"/>
                      <w:sz w:val="18"/>
                      <w:szCs w:val="18"/>
                      <w:lang w:eastAsia="tr-TR"/>
                      <w14:ligatures w14:val="none"/>
                    </w:rPr>
                    <w:t xml:space="preserve">(1) Bu Tebliğ, 14/6/1989 tarihli ve 3577 sayılı İthalatta Haksız Rekabetin Önlenmesi Hakkında Kanun, 20/10/1999 tarihli ve 99/13482 sayılı Bakanlar Kurulu Kararı ile yürürlüğe konulan İthalatta Haksız Rekabetin Önlenmesi Hakkında Karar ve 30/10/1999 tarihli ve 23861 sayılı Resmî </w:t>
                  </w:r>
                  <w:proofErr w:type="spellStart"/>
                  <w:r w:rsidRPr="00B9221E">
                    <w:rPr>
                      <w:rFonts w:ascii="Times New Roman" w:eastAsia="Times New Roman" w:hAnsi="Times New Roman" w:cs="Times New Roman"/>
                      <w:kern w:val="0"/>
                      <w:sz w:val="18"/>
                      <w:szCs w:val="18"/>
                      <w:lang w:eastAsia="tr-TR"/>
                      <w14:ligatures w14:val="none"/>
                    </w:rPr>
                    <w:t>Gazete’de</w:t>
                  </w:r>
                  <w:proofErr w:type="spellEnd"/>
                  <w:r w:rsidRPr="00B9221E">
                    <w:rPr>
                      <w:rFonts w:ascii="Times New Roman" w:eastAsia="Times New Roman" w:hAnsi="Times New Roman" w:cs="Times New Roman"/>
                      <w:kern w:val="0"/>
                      <w:sz w:val="18"/>
                      <w:szCs w:val="18"/>
                      <w:lang w:eastAsia="tr-TR"/>
                      <w14:ligatures w14:val="none"/>
                    </w:rPr>
                    <w:t xml:space="preserve"> yayımlanan İthalatta Haksız Rekabetin Önlenmesi Hakkında Yönetmeliğe dayanılarak hazırlanmıştır.</w:t>
                  </w:r>
                </w:p>
                <w:p w14:paraId="2DF93F3A"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Tanımlar</w:t>
                  </w:r>
                </w:p>
                <w:p w14:paraId="4DFB6FC8"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3- </w:t>
                  </w:r>
                  <w:r w:rsidRPr="00B9221E">
                    <w:rPr>
                      <w:rFonts w:ascii="Times New Roman" w:eastAsia="Times New Roman" w:hAnsi="Times New Roman" w:cs="Times New Roman"/>
                      <w:kern w:val="0"/>
                      <w:sz w:val="18"/>
                      <w:szCs w:val="18"/>
                      <w:lang w:eastAsia="tr-TR"/>
                      <w14:ligatures w14:val="none"/>
                    </w:rPr>
                    <w:t>(1) Bu Tebliğde geçen;</w:t>
                  </w:r>
                </w:p>
                <w:p w14:paraId="41FC3215"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a) Bakanlık: Ticaret Bakanlığını,</w:t>
                  </w:r>
                </w:p>
                <w:p w14:paraId="031A3516"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b) CIF: Masraflar, sigorta ve navlun dâhil teslimi,</w:t>
                  </w:r>
                </w:p>
                <w:p w14:paraId="1F733E39"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c) ÇHC: Çin Halk Cumhuriyeti’ni,</w:t>
                  </w:r>
                </w:p>
                <w:p w14:paraId="2326D126"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proofErr w:type="gramStart"/>
                  <w:r w:rsidRPr="00B9221E">
                    <w:rPr>
                      <w:rFonts w:ascii="Times New Roman" w:eastAsia="Times New Roman" w:hAnsi="Times New Roman" w:cs="Times New Roman"/>
                      <w:kern w:val="0"/>
                      <w:sz w:val="18"/>
                      <w:szCs w:val="18"/>
                      <w:lang w:eastAsia="tr-TR"/>
                      <w14:ligatures w14:val="none"/>
                    </w:rPr>
                    <w:t>ç</w:t>
                  </w:r>
                  <w:proofErr w:type="gramEnd"/>
                  <w:r w:rsidRPr="00B9221E">
                    <w:rPr>
                      <w:rFonts w:ascii="Times New Roman" w:eastAsia="Times New Roman" w:hAnsi="Times New Roman" w:cs="Times New Roman"/>
                      <w:kern w:val="0"/>
                      <w:sz w:val="18"/>
                      <w:szCs w:val="18"/>
                      <w:lang w:eastAsia="tr-TR"/>
                      <w14:ligatures w14:val="none"/>
                    </w:rPr>
                    <w:t>) Endonezya: Endonezya Cumhuriyeti’ni,</w:t>
                  </w:r>
                </w:p>
                <w:p w14:paraId="23327161"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d) Filipinler: Filipinler Cumhuriyeti’ni,</w:t>
                  </w:r>
                </w:p>
                <w:p w14:paraId="61345028"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e) Genel Müdürlük: Bakanlık İthalat Genel Müdürlüğünü,</w:t>
                  </w:r>
                </w:p>
                <w:p w14:paraId="2EF3F808"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f) GTİP: Gümrük tarife istatistik pozisyonunu,</w:t>
                  </w:r>
                </w:p>
                <w:p w14:paraId="607F1B27"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g) GTP: Gümrük tarife pozisyonunu,</w:t>
                  </w:r>
                </w:p>
                <w:p w14:paraId="0741959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proofErr w:type="gramStart"/>
                  <w:r w:rsidRPr="00B9221E">
                    <w:rPr>
                      <w:rFonts w:ascii="Times New Roman" w:eastAsia="Times New Roman" w:hAnsi="Times New Roman" w:cs="Times New Roman"/>
                      <w:kern w:val="0"/>
                      <w:sz w:val="18"/>
                      <w:szCs w:val="18"/>
                      <w:lang w:eastAsia="tr-TR"/>
                      <w14:ligatures w14:val="none"/>
                    </w:rPr>
                    <w:t>ğ</w:t>
                  </w:r>
                  <w:proofErr w:type="gramEnd"/>
                  <w:r w:rsidRPr="00B9221E">
                    <w:rPr>
                      <w:rFonts w:ascii="Times New Roman" w:eastAsia="Times New Roman" w:hAnsi="Times New Roman" w:cs="Times New Roman"/>
                      <w:kern w:val="0"/>
                      <w:sz w:val="18"/>
                      <w:szCs w:val="18"/>
                      <w:lang w:eastAsia="tr-TR"/>
                      <w14:ligatures w14:val="none"/>
                    </w:rPr>
                    <w:t>) Kanun: 14/6/1989 tarihli ve 3577 sayılı İthalatta Haksız Rekabetin Önlenmesi Hakkında Kanunu,</w:t>
                  </w:r>
                </w:p>
                <w:p w14:paraId="7A1577D5"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h) Karar: 20/10/1999 tarihli ve 99/13482 sayılı Bakanlar Kurulu Kararı ile yürürlüğe konulan İthalatta Haksız Rekabetin Önlenmesi Hakkında Kararı,</w:t>
                  </w:r>
                </w:p>
                <w:p w14:paraId="24A31161"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proofErr w:type="gramStart"/>
                  <w:r w:rsidRPr="00B9221E">
                    <w:rPr>
                      <w:rFonts w:ascii="Times New Roman" w:eastAsia="Times New Roman" w:hAnsi="Times New Roman" w:cs="Times New Roman"/>
                      <w:kern w:val="0"/>
                      <w:sz w:val="18"/>
                      <w:szCs w:val="18"/>
                      <w:lang w:eastAsia="tr-TR"/>
                      <w14:ligatures w14:val="none"/>
                    </w:rPr>
                    <w:t>ı</w:t>
                  </w:r>
                  <w:proofErr w:type="gramEnd"/>
                  <w:r w:rsidRPr="00B9221E">
                    <w:rPr>
                      <w:rFonts w:ascii="Times New Roman" w:eastAsia="Times New Roman" w:hAnsi="Times New Roman" w:cs="Times New Roman"/>
                      <w:kern w:val="0"/>
                      <w:sz w:val="18"/>
                      <w:szCs w:val="18"/>
                      <w:lang w:eastAsia="tr-TR"/>
                      <w14:ligatures w14:val="none"/>
                    </w:rPr>
                    <w:t>) KEP: Kayıtlı elektronik posta adresini,</w:t>
                  </w:r>
                </w:p>
                <w:p w14:paraId="1EDE7867"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i) Pakistan: Pakistan İslam Cumhuriyeti’ni,</w:t>
                  </w:r>
                </w:p>
                <w:p w14:paraId="57BDC9C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j) TGTC: İstatistik Pozisyonlarına Bölünmüş Türk Gümrük Tarife Cetvelini,</w:t>
                  </w:r>
                </w:p>
                <w:p w14:paraId="26F3BB21"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k) Vietnam: Vietnam Sosyalist Cumhuriyeti’ni,</w:t>
                  </w:r>
                </w:p>
                <w:p w14:paraId="6F5EABEA"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 xml:space="preserve">l) Yönetmelik: 30/10/1999 tarihli ve 23861 sayılı Resmî </w:t>
                  </w:r>
                  <w:proofErr w:type="spellStart"/>
                  <w:r w:rsidRPr="00B9221E">
                    <w:rPr>
                      <w:rFonts w:ascii="Times New Roman" w:eastAsia="Times New Roman" w:hAnsi="Times New Roman" w:cs="Times New Roman"/>
                      <w:kern w:val="0"/>
                      <w:sz w:val="18"/>
                      <w:szCs w:val="18"/>
                      <w:lang w:eastAsia="tr-TR"/>
                      <w14:ligatures w14:val="none"/>
                    </w:rPr>
                    <w:t>Gazete’de</w:t>
                  </w:r>
                  <w:proofErr w:type="spellEnd"/>
                  <w:r w:rsidRPr="00B9221E">
                    <w:rPr>
                      <w:rFonts w:ascii="Times New Roman" w:eastAsia="Times New Roman" w:hAnsi="Times New Roman" w:cs="Times New Roman"/>
                      <w:kern w:val="0"/>
                      <w:sz w:val="18"/>
                      <w:szCs w:val="18"/>
                      <w:lang w:eastAsia="tr-TR"/>
                      <w14:ligatures w14:val="none"/>
                    </w:rPr>
                    <w:t xml:space="preserve"> yayımlanan İthalatta Haksız Rekabetin Önlenmesi Hakkında Yönetmeliği,</w:t>
                  </w:r>
                </w:p>
                <w:p w14:paraId="1DF6226D"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proofErr w:type="gramStart"/>
                  <w:r w:rsidRPr="00B9221E">
                    <w:rPr>
                      <w:rFonts w:ascii="Times New Roman" w:eastAsia="Times New Roman" w:hAnsi="Times New Roman" w:cs="Times New Roman"/>
                      <w:kern w:val="0"/>
                      <w:sz w:val="18"/>
                      <w:szCs w:val="18"/>
                      <w:lang w:eastAsia="tr-TR"/>
                      <w14:ligatures w14:val="none"/>
                    </w:rPr>
                    <w:t>ifade</w:t>
                  </w:r>
                  <w:proofErr w:type="gramEnd"/>
                  <w:r w:rsidRPr="00B9221E">
                    <w:rPr>
                      <w:rFonts w:ascii="Times New Roman" w:eastAsia="Times New Roman" w:hAnsi="Times New Roman" w:cs="Times New Roman"/>
                      <w:kern w:val="0"/>
                      <w:sz w:val="18"/>
                      <w:szCs w:val="18"/>
                      <w:lang w:eastAsia="tr-TR"/>
                      <w14:ligatures w14:val="none"/>
                    </w:rPr>
                    <w:t> eder.</w:t>
                  </w:r>
                </w:p>
                <w:p w14:paraId="0693712A"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Soruşturma konusu eşya</w:t>
                  </w:r>
                </w:p>
                <w:p w14:paraId="61690942"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4- </w:t>
                  </w:r>
                  <w:r w:rsidRPr="00B9221E">
                    <w:rPr>
                      <w:rFonts w:ascii="Times New Roman" w:eastAsia="Times New Roman" w:hAnsi="Times New Roman" w:cs="Times New Roman"/>
                      <w:kern w:val="0"/>
                      <w:sz w:val="18"/>
                      <w:szCs w:val="18"/>
                      <w:lang w:eastAsia="tr-TR"/>
                      <w14:ligatures w14:val="none"/>
                    </w:rPr>
                    <w:t xml:space="preserve">(1) Soruşturma konusu eşya, 23/5/2024 tarihli ve 32554 sayılı Resmî </w:t>
                  </w:r>
                  <w:proofErr w:type="spellStart"/>
                  <w:r w:rsidRPr="00B9221E">
                    <w:rPr>
                      <w:rFonts w:ascii="Times New Roman" w:eastAsia="Times New Roman" w:hAnsi="Times New Roman" w:cs="Times New Roman"/>
                      <w:kern w:val="0"/>
                      <w:sz w:val="18"/>
                      <w:szCs w:val="18"/>
                      <w:lang w:eastAsia="tr-TR"/>
                      <w14:ligatures w14:val="none"/>
                    </w:rPr>
                    <w:t>Gazete’de</w:t>
                  </w:r>
                  <w:proofErr w:type="spellEnd"/>
                  <w:r w:rsidRPr="00B9221E">
                    <w:rPr>
                      <w:rFonts w:ascii="Times New Roman" w:eastAsia="Times New Roman" w:hAnsi="Times New Roman" w:cs="Times New Roman"/>
                      <w:kern w:val="0"/>
                      <w:sz w:val="18"/>
                      <w:szCs w:val="18"/>
                      <w:lang w:eastAsia="tr-TR"/>
                      <w14:ligatures w14:val="none"/>
                    </w:rPr>
                    <w:t xml:space="preserve"> yayımlanan İthalatta Haksız Rekabetin Önlenmesine İlişkin Tebliğ (Tebliğ No: 2024/15) kapsamındaki 8415.10.90.00.11 ile 8415.10.90.00.19 </w:t>
                  </w:r>
                  <w:proofErr w:type="spellStart"/>
                  <w:r w:rsidRPr="00B9221E">
                    <w:rPr>
                      <w:rFonts w:ascii="Times New Roman" w:eastAsia="Times New Roman" w:hAnsi="Times New Roman" w:cs="Times New Roman"/>
                      <w:kern w:val="0"/>
                      <w:sz w:val="18"/>
                      <w:szCs w:val="18"/>
                      <w:lang w:eastAsia="tr-TR"/>
                      <w14:ligatures w14:val="none"/>
                    </w:rPr>
                    <w:t>GTİP’leri</w:t>
                  </w:r>
                  <w:proofErr w:type="spellEnd"/>
                  <w:r w:rsidRPr="00B9221E">
                    <w:rPr>
                      <w:rFonts w:ascii="Times New Roman" w:eastAsia="Times New Roman" w:hAnsi="Times New Roman" w:cs="Times New Roman"/>
                      <w:kern w:val="0"/>
                      <w:sz w:val="18"/>
                      <w:szCs w:val="18"/>
                      <w:lang w:eastAsia="tr-TR"/>
                      <w14:ligatures w14:val="none"/>
                    </w:rPr>
                    <w:t> altında yer alan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 8415.90.00.90.09 </w:t>
                  </w:r>
                  <w:proofErr w:type="spellStart"/>
                  <w:r w:rsidRPr="00B9221E">
                    <w:rPr>
                      <w:rFonts w:ascii="Times New Roman" w:eastAsia="Times New Roman" w:hAnsi="Times New Roman" w:cs="Times New Roman"/>
                      <w:kern w:val="0"/>
                      <w:sz w:val="18"/>
                      <w:szCs w:val="18"/>
                      <w:lang w:eastAsia="tr-TR"/>
                      <w14:ligatures w14:val="none"/>
                    </w:rPr>
                    <w:t>GTİP’i</w:t>
                  </w:r>
                  <w:proofErr w:type="spellEnd"/>
                  <w:r w:rsidRPr="00B9221E">
                    <w:rPr>
                      <w:rFonts w:ascii="Times New Roman" w:eastAsia="Times New Roman" w:hAnsi="Times New Roman" w:cs="Times New Roman"/>
                      <w:kern w:val="0"/>
                      <w:sz w:val="18"/>
                      <w:szCs w:val="18"/>
                      <w:lang w:eastAsia="tr-TR"/>
                      <w14:ligatures w14:val="none"/>
                    </w:rPr>
                    <w:t> altında yer alan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klimaların dış üniteleri (değişken soğutucu debili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 sistemleri dış ünitesi hariç)” ve 8415.90.00.90.12 </w:t>
                  </w:r>
                  <w:proofErr w:type="spellStart"/>
                  <w:r w:rsidRPr="00B9221E">
                    <w:rPr>
                      <w:rFonts w:ascii="Times New Roman" w:eastAsia="Times New Roman" w:hAnsi="Times New Roman" w:cs="Times New Roman"/>
                      <w:kern w:val="0"/>
                      <w:sz w:val="18"/>
                      <w:szCs w:val="18"/>
                      <w:lang w:eastAsia="tr-TR"/>
                      <w14:ligatures w14:val="none"/>
                    </w:rPr>
                    <w:t>GTİP’i</w:t>
                  </w:r>
                  <w:proofErr w:type="spellEnd"/>
                  <w:r w:rsidRPr="00B9221E">
                    <w:rPr>
                      <w:rFonts w:ascii="Times New Roman" w:eastAsia="Times New Roman" w:hAnsi="Times New Roman" w:cs="Times New Roman"/>
                      <w:kern w:val="0"/>
                      <w:sz w:val="18"/>
                      <w:szCs w:val="18"/>
                      <w:lang w:eastAsia="tr-TR"/>
                      <w14:ligatures w14:val="none"/>
                    </w:rPr>
                    <w:t> altında yer alan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klimaların iç </w:t>
                  </w:r>
                  <w:proofErr w:type="spellStart"/>
                  <w:r w:rsidRPr="00B9221E">
                    <w:rPr>
                      <w:rFonts w:ascii="Times New Roman" w:eastAsia="Times New Roman" w:hAnsi="Times New Roman" w:cs="Times New Roman"/>
                      <w:kern w:val="0"/>
                      <w:sz w:val="18"/>
                      <w:szCs w:val="18"/>
                      <w:lang w:eastAsia="tr-TR"/>
                      <w14:ligatures w14:val="none"/>
                    </w:rPr>
                    <w:t>üniteleri”dir</w:t>
                  </w:r>
                  <w:proofErr w:type="spellEnd"/>
                  <w:r w:rsidRPr="00B9221E">
                    <w:rPr>
                      <w:rFonts w:ascii="Times New Roman" w:eastAsia="Times New Roman" w:hAnsi="Times New Roman" w:cs="Times New Roman"/>
                      <w:kern w:val="0"/>
                      <w:sz w:val="18"/>
                      <w:szCs w:val="18"/>
                      <w:lang w:eastAsia="tr-TR"/>
                      <w14:ligatures w14:val="none"/>
                    </w:rPr>
                    <w:t>.</w:t>
                  </w:r>
                </w:p>
                <w:p w14:paraId="1595213D"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(2) Önleme tabi ürünün </w:t>
                  </w:r>
                  <w:proofErr w:type="spellStart"/>
                  <w:r w:rsidRPr="00B9221E">
                    <w:rPr>
                      <w:rFonts w:ascii="Times New Roman" w:eastAsia="Times New Roman" w:hAnsi="Times New Roman" w:cs="Times New Roman"/>
                      <w:kern w:val="0"/>
                      <w:sz w:val="18"/>
                      <w:szCs w:val="18"/>
                      <w:lang w:eastAsia="tr-TR"/>
                      <w14:ligatures w14:val="none"/>
                    </w:rPr>
                    <w:t>TGTC’de</w:t>
                  </w:r>
                  <w:proofErr w:type="spellEnd"/>
                  <w:r w:rsidRPr="00B9221E">
                    <w:rPr>
                      <w:rFonts w:ascii="Times New Roman" w:eastAsia="Times New Roman" w:hAnsi="Times New Roman" w:cs="Times New Roman"/>
                      <w:kern w:val="0"/>
                      <w:sz w:val="18"/>
                      <w:szCs w:val="18"/>
                      <w:lang w:eastAsia="tr-TR"/>
                      <w14:ligatures w14:val="none"/>
                    </w:rPr>
                    <w:t> yer alan tarife pozisyonunda ve/veya eşya tanımında yapılacak değişiklikler bu Tebliğ hükümlerinin uygulanmasına engel teşkil etmez.</w:t>
                  </w:r>
                </w:p>
                <w:p w14:paraId="1528E918"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Yürürlükte bulunan önlemler</w:t>
                  </w:r>
                </w:p>
                <w:p w14:paraId="5D82FF94"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5- </w:t>
                  </w:r>
                  <w:r w:rsidRPr="00B9221E">
                    <w:rPr>
                      <w:rFonts w:ascii="Times New Roman" w:eastAsia="Times New Roman" w:hAnsi="Times New Roman" w:cs="Times New Roman"/>
                      <w:kern w:val="0"/>
                      <w:sz w:val="18"/>
                      <w:szCs w:val="18"/>
                      <w:lang w:eastAsia="tr-TR"/>
                      <w14:ligatures w14:val="none"/>
                    </w:rPr>
                    <w:t xml:space="preserve">(1) 26/7/2006 tarihli ve 26240 sayılı Resmî </w:t>
                  </w:r>
                  <w:proofErr w:type="spellStart"/>
                  <w:r w:rsidRPr="00B9221E">
                    <w:rPr>
                      <w:rFonts w:ascii="Times New Roman" w:eastAsia="Times New Roman" w:hAnsi="Times New Roman" w:cs="Times New Roman"/>
                      <w:kern w:val="0"/>
                      <w:sz w:val="18"/>
                      <w:szCs w:val="18"/>
                      <w:lang w:eastAsia="tr-TR"/>
                      <w14:ligatures w14:val="none"/>
                    </w:rPr>
                    <w:t>Gazete’de</w:t>
                  </w:r>
                  <w:proofErr w:type="spellEnd"/>
                  <w:r w:rsidRPr="00B9221E">
                    <w:rPr>
                      <w:rFonts w:ascii="Times New Roman" w:eastAsia="Times New Roman" w:hAnsi="Times New Roman" w:cs="Times New Roman"/>
                      <w:kern w:val="0"/>
                      <w:sz w:val="18"/>
                      <w:szCs w:val="18"/>
                      <w:lang w:eastAsia="tr-TR"/>
                      <w14:ligatures w14:val="none"/>
                    </w:rPr>
                    <w:t xml:space="preserve"> yayımlanan İthalatta Haksız Rekabetin Önlenmesine İlişkin Tebliğ (Tebliğ No: 2006/20) ile ÇHC menşeli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klimaların dış üniteleri (değişken soğutucu debili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 sistemleri dış ünitesi hariç)” ile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klimaların iç üniteleri” ithalatına yönelik CIF bedelin %25’i oranında dampinge karşı önlem yürürlüğe konulmuştur.</w:t>
                  </w:r>
                </w:p>
                <w:p w14:paraId="0593C402"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(2) ÇHC menşeli inceleme konusu eşya ithalatında yürürlükte bulunan dampinge karşı önlem, İthalatta Haksız Rekabetin Önlenmesine İlişkin Tebliğ (Tebliğ No: 2009/6) ile Malezya menşeli/çıkışlı ithalata teşmil edilmiştir. Soruşturma neticesinde, “Panasonic HA </w:t>
                  </w:r>
                  <w:proofErr w:type="spellStart"/>
                  <w:r w:rsidRPr="00B9221E">
                    <w:rPr>
                      <w:rFonts w:ascii="Times New Roman" w:eastAsia="Times New Roman" w:hAnsi="Times New Roman" w:cs="Times New Roman"/>
                      <w:kern w:val="0"/>
                      <w:sz w:val="18"/>
                      <w:szCs w:val="18"/>
                      <w:lang w:eastAsia="tr-TR"/>
                      <w14:ligatures w14:val="none"/>
                    </w:rPr>
                    <w:t>Air</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Conditioning</w:t>
                  </w:r>
                  <w:proofErr w:type="spellEnd"/>
                  <w:r w:rsidRPr="00B9221E">
                    <w:rPr>
                      <w:rFonts w:ascii="Times New Roman" w:eastAsia="Times New Roman" w:hAnsi="Times New Roman" w:cs="Times New Roman"/>
                      <w:kern w:val="0"/>
                      <w:sz w:val="18"/>
                      <w:szCs w:val="18"/>
                      <w:lang w:eastAsia="tr-TR"/>
                      <w14:ligatures w14:val="none"/>
                    </w:rPr>
                    <w:t> (M)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xml:space="preserve">.”, </w:t>
                  </w:r>
                  <w:r w:rsidRPr="00B9221E">
                    <w:rPr>
                      <w:rFonts w:ascii="Times New Roman" w:eastAsia="Times New Roman" w:hAnsi="Times New Roman" w:cs="Times New Roman"/>
                      <w:kern w:val="0"/>
                      <w:sz w:val="18"/>
                      <w:szCs w:val="18"/>
                      <w:lang w:eastAsia="tr-TR"/>
                      <w14:ligatures w14:val="none"/>
                    </w:rPr>
                    <w:lastRenderedPageBreak/>
                    <w:t>“O.Y.L. </w:t>
                  </w:r>
                  <w:proofErr w:type="spellStart"/>
                  <w:r w:rsidRPr="00B9221E">
                    <w:rPr>
                      <w:rFonts w:ascii="Times New Roman" w:eastAsia="Times New Roman" w:hAnsi="Times New Roman" w:cs="Times New Roman"/>
                      <w:kern w:val="0"/>
                      <w:sz w:val="18"/>
                      <w:szCs w:val="18"/>
                      <w:lang w:eastAsia="tr-TR"/>
                      <w14:ligatures w14:val="none"/>
                    </w:rPr>
                    <w:t>Manufacturing</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Company</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ve “Hitachi Air Conditioning Products (M) Sdn. Bhd.” ünvanlı firmalar söz konusu önlemden muaf tutulmuştur.</w:t>
                  </w:r>
                </w:p>
                <w:p w14:paraId="10D34224"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 xml:space="preserve">(3) ÇHC menşeli inceleme konusu eşya ithalatında yürürlükte bulunan dampinge karşı önlem, 4/1/2011 tarihli ve 27805 sayılı Resmî </w:t>
                  </w:r>
                  <w:proofErr w:type="spellStart"/>
                  <w:r w:rsidRPr="00B9221E">
                    <w:rPr>
                      <w:rFonts w:ascii="Times New Roman" w:eastAsia="Times New Roman" w:hAnsi="Times New Roman" w:cs="Times New Roman"/>
                      <w:kern w:val="0"/>
                      <w:sz w:val="18"/>
                      <w:szCs w:val="18"/>
                      <w:lang w:eastAsia="tr-TR"/>
                      <w14:ligatures w14:val="none"/>
                    </w:rPr>
                    <w:t>Gazete’de</w:t>
                  </w:r>
                  <w:proofErr w:type="spellEnd"/>
                  <w:r w:rsidRPr="00B9221E">
                    <w:rPr>
                      <w:rFonts w:ascii="Times New Roman" w:eastAsia="Times New Roman" w:hAnsi="Times New Roman" w:cs="Times New Roman"/>
                      <w:kern w:val="0"/>
                      <w:sz w:val="18"/>
                      <w:szCs w:val="18"/>
                      <w:lang w:eastAsia="tr-TR"/>
                      <w14:ligatures w14:val="none"/>
                    </w:rPr>
                    <w:t xml:space="preserve"> yayımlanan İthalatta Haksız Rekabetin Önlenmesine İlişkin Tebliğ (Tebliğ No: 2011/3) uyarınca Vietnam, Endonezya, Filipinler ve Pakistan menşeli/çıkışlı ithalata teşmil edilmiştir.</w:t>
                  </w:r>
                </w:p>
                <w:p w14:paraId="139D2883"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(4) İthalatta Haksız Rekabetin Önlenmesine İlişkin Tebliğ (Tebliğ No: 2024/15) ile tamamlanan son nihai gözden geçirme soruşturması sonucunda mevcut önlemin devamına karar verilmiştir.</w:t>
                  </w:r>
                </w:p>
                <w:p w14:paraId="0F27DD5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Başvuru ve inceleme</w:t>
                  </w:r>
                </w:p>
                <w:p w14:paraId="07642656"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6- </w:t>
                  </w:r>
                  <w:r w:rsidRPr="00B9221E">
                    <w:rPr>
                      <w:rFonts w:ascii="Times New Roman" w:eastAsia="Times New Roman" w:hAnsi="Times New Roman" w:cs="Times New Roman"/>
                      <w:kern w:val="0"/>
                      <w:sz w:val="18"/>
                      <w:szCs w:val="18"/>
                      <w:lang w:eastAsia="tr-TR"/>
                      <w14:ligatures w14:val="none"/>
                    </w:rPr>
                    <w:t>(1) “Bosch Home </w:t>
                  </w:r>
                  <w:proofErr w:type="spellStart"/>
                  <w:r w:rsidRPr="00B9221E">
                    <w:rPr>
                      <w:rFonts w:ascii="Times New Roman" w:eastAsia="Times New Roman" w:hAnsi="Times New Roman" w:cs="Times New Roman"/>
                      <w:kern w:val="0"/>
                      <w:sz w:val="18"/>
                      <w:szCs w:val="18"/>
                      <w:lang w:eastAsia="tr-TR"/>
                      <w14:ligatures w14:val="none"/>
                    </w:rPr>
                    <w:t>Comfort</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Malaysia</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xml:space="preserve">.” ünvanlı firma tarafından, Yönetmeliğin </w:t>
                  </w:r>
                  <w:proofErr w:type="gramStart"/>
                  <w:r w:rsidRPr="00B9221E">
                    <w:rPr>
                      <w:rFonts w:ascii="Times New Roman" w:eastAsia="Times New Roman" w:hAnsi="Times New Roman" w:cs="Times New Roman"/>
                      <w:kern w:val="0"/>
                      <w:sz w:val="18"/>
                      <w:szCs w:val="18"/>
                      <w:lang w:eastAsia="tr-TR"/>
                      <w14:ligatures w14:val="none"/>
                    </w:rPr>
                    <w:t>34 üncü</w:t>
                  </w:r>
                  <w:proofErr w:type="gramEnd"/>
                  <w:r w:rsidRPr="00B9221E">
                    <w:rPr>
                      <w:rFonts w:ascii="Times New Roman" w:eastAsia="Times New Roman" w:hAnsi="Times New Roman" w:cs="Times New Roman"/>
                      <w:kern w:val="0"/>
                      <w:sz w:val="18"/>
                      <w:szCs w:val="18"/>
                      <w:lang w:eastAsia="tr-TR"/>
                      <w14:ligatures w14:val="none"/>
                    </w:rPr>
                    <w:t xml:space="preserve"> maddesi çerçevesinde, İthalatta Haksız Rekabetin Önlenmesine İlişkin Tebliğ (Tebliğ No: 2009/6) ile Malezya’da mukim ilişkili olduğu “Hitachi </w:t>
                  </w:r>
                  <w:proofErr w:type="spellStart"/>
                  <w:r w:rsidRPr="00B9221E">
                    <w:rPr>
                      <w:rFonts w:ascii="Times New Roman" w:eastAsia="Times New Roman" w:hAnsi="Times New Roman" w:cs="Times New Roman"/>
                      <w:kern w:val="0"/>
                      <w:sz w:val="18"/>
                      <w:szCs w:val="18"/>
                      <w:lang w:eastAsia="tr-TR"/>
                      <w14:ligatures w14:val="none"/>
                    </w:rPr>
                    <w:t>Air</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Conditioning</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Products</w:t>
                  </w:r>
                  <w:proofErr w:type="spellEnd"/>
                  <w:r w:rsidRPr="00B9221E">
                    <w:rPr>
                      <w:rFonts w:ascii="Times New Roman" w:eastAsia="Times New Roman" w:hAnsi="Times New Roman" w:cs="Times New Roman"/>
                      <w:kern w:val="0"/>
                      <w:sz w:val="18"/>
                      <w:szCs w:val="18"/>
                      <w:lang w:eastAsia="tr-TR"/>
                      <w14:ligatures w14:val="none"/>
                    </w:rPr>
                    <w:t> (M)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ünvanlı firma için tanınan muafiyetin kendisi için değerlendirilmesine yönelik kısmi ara gözden geçirme soruşturması açılması yönünde başvurusuna yönelik inceleme başlatılmıştır.</w:t>
                  </w:r>
                </w:p>
                <w:p w14:paraId="281F53C9"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(2) Kısmi ara gözden geçirme soruşturması açılmasına ilişkin bulgular Kanun, Karar ve Yönetmelik hükümleri çerçevesinde değerlendirilmiştir.</w:t>
                  </w:r>
                </w:p>
                <w:p w14:paraId="54DE15B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Gerekçe</w:t>
                  </w:r>
                </w:p>
                <w:p w14:paraId="66F4FE0D"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7- </w:t>
                  </w:r>
                  <w:r w:rsidRPr="00B9221E">
                    <w:rPr>
                      <w:rFonts w:ascii="Times New Roman" w:eastAsia="Times New Roman" w:hAnsi="Times New Roman" w:cs="Times New Roman"/>
                      <w:kern w:val="0"/>
                      <w:sz w:val="18"/>
                      <w:szCs w:val="18"/>
                      <w:lang w:eastAsia="tr-TR"/>
                      <w14:ligatures w14:val="none"/>
                    </w:rPr>
                    <w:t xml:space="preserve">(1) Yönetmeliğin ara gözden geçirme soruşturması başlıklı </w:t>
                  </w:r>
                  <w:proofErr w:type="gramStart"/>
                  <w:r w:rsidRPr="00B9221E">
                    <w:rPr>
                      <w:rFonts w:ascii="Times New Roman" w:eastAsia="Times New Roman" w:hAnsi="Times New Roman" w:cs="Times New Roman"/>
                      <w:kern w:val="0"/>
                      <w:sz w:val="18"/>
                      <w:szCs w:val="18"/>
                      <w:lang w:eastAsia="tr-TR"/>
                      <w14:ligatures w14:val="none"/>
                    </w:rPr>
                    <w:t>34 üncü</w:t>
                  </w:r>
                  <w:proofErr w:type="gramEnd"/>
                  <w:r w:rsidRPr="00B9221E">
                    <w:rPr>
                      <w:rFonts w:ascii="Times New Roman" w:eastAsia="Times New Roman" w:hAnsi="Times New Roman" w:cs="Times New Roman"/>
                      <w:kern w:val="0"/>
                      <w:sz w:val="18"/>
                      <w:szCs w:val="18"/>
                      <w:lang w:eastAsia="tr-TR"/>
                      <w14:ligatures w14:val="none"/>
                    </w:rPr>
                    <w:t xml:space="preserve"> maddesinin birinci fıkrası uyarınca, kesin önlemin yürürlüğe girmesinden itibaren bir yıl geçmiş olması kaydıyla, önleme konu malın ihracatçısı, ithalatçısı veya yerli üreticisinin başvurusu üzerine veya </w:t>
                  </w:r>
                  <w:proofErr w:type="spellStart"/>
                  <w:r w:rsidRPr="00B9221E">
                    <w:rPr>
                      <w:rFonts w:ascii="Times New Roman" w:eastAsia="Times New Roman" w:hAnsi="Times New Roman" w:cs="Times New Roman"/>
                      <w:kern w:val="0"/>
                      <w:sz w:val="18"/>
                      <w:szCs w:val="18"/>
                      <w:lang w:eastAsia="tr-TR"/>
                      <w14:ligatures w14:val="none"/>
                    </w:rPr>
                    <w:t>re’sen</w:t>
                  </w:r>
                  <w:proofErr w:type="spellEnd"/>
                  <w:r w:rsidRPr="00B9221E">
                    <w:rPr>
                      <w:rFonts w:ascii="Times New Roman" w:eastAsia="Times New Roman" w:hAnsi="Times New Roman" w:cs="Times New Roman"/>
                      <w:kern w:val="0"/>
                      <w:sz w:val="18"/>
                      <w:szCs w:val="18"/>
                      <w:lang w:eastAsia="tr-TR"/>
                      <w14:ligatures w14:val="none"/>
                    </w:rPr>
                    <w:t> önlemin gözden geçirilmesi için ara gözden geçirme soruşturması açılabilir. Bu kapsamda yapılacak başvuruların gözden geçirmeyi haklı kılacak delilleri içermesi gerekmektedir. Aynı maddenin üçüncü fıkrası uyarınca; bu soruşturma esnasında, damping veya sübvansiyon ve zararla ilgili koşulların önemli ölçüde değişip değişmediği veya yürürlükte bulunan önlemin daha önce belirlenmiş olan zararı giderme konusundaki hedefe ulaşıp ulaşmadığı hususları incelenir.</w:t>
                  </w:r>
                </w:p>
                <w:p w14:paraId="5FC3255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(2) Yapılan incelemede 2009-2026 (1-6) dönemi itibarıyla Malezya’da mukim “Bosch Home </w:t>
                  </w:r>
                  <w:proofErr w:type="spellStart"/>
                  <w:r w:rsidRPr="00B9221E">
                    <w:rPr>
                      <w:rFonts w:ascii="Times New Roman" w:eastAsia="Times New Roman" w:hAnsi="Times New Roman" w:cs="Times New Roman"/>
                      <w:kern w:val="0"/>
                      <w:sz w:val="18"/>
                      <w:szCs w:val="18"/>
                      <w:lang w:eastAsia="tr-TR"/>
                      <w14:ligatures w14:val="none"/>
                    </w:rPr>
                    <w:t>Comfort</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Malaysia</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nin Türkiye’ye ihracatının bulunmadığı görülmektedir.</w:t>
                  </w:r>
                </w:p>
                <w:p w14:paraId="5C7D6F86"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(3)“Bosch Home </w:t>
                  </w:r>
                  <w:proofErr w:type="spellStart"/>
                  <w:r w:rsidRPr="00B9221E">
                    <w:rPr>
                      <w:rFonts w:ascii="Times New Roman" w:eastAsia="Times New Roman" w:hAnsi="Times New Roman" w:cs="Times New Roman"/>
                      <w:kern w:val="0"/>
                      <w:sz w:val="18"/>
                      <w:szCs w:val="18"/>
                      <w:lang w:eastAsia="tr-TR"/>
                      <w14:ligatures w14:val="none"/>
                    </w:rPr>
                    <w:t>Comfort</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Malaysia</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firmasının daha evvel yapılan başvurusunda “Hitachi </w:t>
                  </w:r>
                  <w:proofErr w:type="spellStart"/>
                  <w:r w:rsidRPr="00B9221E">
                    <w:rPr>
                      <w:rFonts w:ascii="Times New Roman" w:eastAsia="Times New Roman" w:hAnsi="Times New Roman" w:cs="Times New Roman"/>
                      <w:kern w:val="0"/>
                      <w:sz w:val="18"/>
                      <w:szCs w:val="18"/>
                      <w:lang w:eastAsia="tr-TR"/>
                      <w14:ligatures w14:val="none"/>
                    </w:rPr>
                    <w:t>Air</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Conditioning</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Products</w:t>
                  </w:r>
                  <w:proofErr w:type="spellEnd"/>
                  <w:r w:rsidRPr="00B9221E">
                    <w:rPr>
                      <w:rFonts w:ascii="Times New Roman" w:eastAsia="Times New Roman" w:hAnsi="Times New Roman" w:cs="Times New Roman"/>
                      <w:kern w:val="0"/>
                      <w:sz w:val="18"/>
                      <w:szCs w:val="18"/>
                      <w:lang w:eastAsia="tr-TR"/>
                      <w14:ligatures w14:val="none"/>
                    </w:rPr>
                    <w:t> (M)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Bhd”nin</w:t>
                  </w:r>
                  <w:proofErr w:type="spellEnd"/>
                  <w:r w:rsidRPr="00B9221E">
                    <w:rPr>
                      <w:rFonts w:ascii="Times New Roman" w:eastAsia="Times New Roman" w:hAnsi="Times New Roman" w:cs="Times New Roman"/>
                      <w:kern w:val="0"/>
                      <w:sz w:val="18"/>
                      <w:szCs w:val="18"/>
                      <w:lang w:eastAsia="tr-TR"/>
                      <w14:ligatures w14:val="none"/>
                    </w:rPr>
                    <w:t> İthalatta Haksız Rekabetin Önlenmesine İlişkin Tebliğ (Tebliğ No: 2009/6) kapsamında yararlandığı muafiyetin </w:t>
                  </w:r>
                  <w:proofErr w:type="spellStart"/>
                  <w:r w:rsidRPr="00B9221E">
                    <w:rPr>
                      <w:rFonts w:ascii="Times New Roman" w:eastAsia="Times New Roman" w:hAnsi="Times New Roman" w:cs="Times New Roman"/>
                      <w:kern w:val="0"/>
                      <w:sz w:val="18"/>
                      <w:szCs w:val="18"/>
                      <w:lang w:eastAsia="tr-TR"/>
                      <w14:ligatures w14:val="none"/>
                    </w:rPr>
                    <w:t>ünvan</w:t>
                  </w:r>
                  <w:proofErr w:type="spellEnd"/>
                  <w:r w:rsidRPr="00B9221E">
                    <w:rPr>
                      <w:rFonts w:ascii="Times New Roman" w:eastAsia="Times New Roman" w:hAnsi="Times New Roman" w:cs="Times New Roman"/>
                      <w:kern w:val="0"/>
                      <w:sz w:val="18"/>
                      <w:szCs w:val="18"/>
                      <w:lang w:eastAsia="tr-TR"/>
                      <w14:ligatures w14:val="none"/>
                    </w:rPr>
                    <w:t> değişikliği gerekçesiyle kendi firması için devam etmesi talebi İthalatta Haksız Rekabeti Değerlendirme Kurulu Kararı ile uygun bulunmamıştır.</w:t>
                  </w:r>
                </w:p>
                <w:p w14:paraId="532C427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(4) İthalatta Haksız Rekabetin Önlenmesine İlişkin Tebliğ (Tebliğ No: 2009/6) kapsamında Malezya menşeli/çıkışlı önleme konu eşya ithalatında yürürlükte bulunan mevcut önlemin uygulanmasına esas teşkil eden koşulların muafiyetten faydalanan “Hitachi </w:t>
                  </w:r>
                  <w:proofErr w:type="spellStart"/>
                  <w:r w:rsidRPr="00B9221E">
                    <w:rPr>
                      <w:rFonts w:ascii="Times New Roman" w:eastAsia="Times New Roman" w:hAnsi="Times New Roman" w:cs="Times New Roman"/>
                      <w:kern w:val="0"/>
                      <w:sz w:val="18"/>
                      <w:szCs w:val="18"/>
                      <w:lang w:eastAsia="tr-TR"/>
                      <w14:ligatures w14:val="none"/>
                    </w:rPr>
                    <w:t>Air</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Conditioning</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Products</w:t>
                  </w:r>
                  <w:proofErr w:type="spellEnd"/>
                  <w:r w:rsidRPr="00B9221E">
                    <w:rPr>
                      <w:rFonts w:ascii="Times New Roman" w:eastAsia="Times New Roman" w:hAnsi="Times New Roman" w:cs="Times New Roman"/>
                      <w:kern w:val="0"/>
                      <w:sz w:val="18"/>
                      <w:szCs w:val="18"/>
                      <w:lang w:eastAsia="tr-TR"/>
                      <w14:ligatures w14:val="none"/>
                    </w:rPr>
                    <w:t> (M)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bakımından önemli ölçüde değiştiği; “Bosch Home </w:t>
                  </w:r>
                  <w:proofErr w:type="spellStart"/>
                  <w:r w:rsidRPr="00B9221E">
                    <w:rPr>
                      <w:rFonts w:ascii="Times New Roman" w:eastAsia="Times New Roman" w:hAnsi="Times New Roman" w:cs="Times New Roman"/>
                      <w:kern w:val="0"/>
                      <w:sz w:val="18"/>
                      <w:szCs w:val="18"/>
                      <w:lang w:eastAsia="tr-TR"/>
                      <w14:ligatures w14:val="none"/>
                    </w:rPr>
                    <w:t>Comfort</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Malaysia</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firması ve sunulan deliller uyarınca ilişkili olduğu ve halihazırda muafiyetin değerlendirilmesi için kısmi ara gözden geçirme soruşturması açılması için haklı delillerin bulunduğu anlaşılmıştır.</w:t>
                  </w:r>
                </w:p>
                <w:p w14:paraId="63FFBB4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Karar ve işlemler</w:t>
                  </w:r>
                </w:p>
                <w:p w14:paraId="64C18FE0"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8- </w:t>
                  </w:r>
                  <w:r w:rsidRPr="00B9221E">
                    <w:rPr>
                      <w:rFonts w:ascii="Times New Roman" w:eastAsia="Times New Roman" w:hAnsi="Times New Roman" w:cs="Times New Roman"/>
                      <w:kern w:val="0"/>
                      <w:sz w:val="18"/>
                      <w:szCs w:val="18"/>
                      <w:lang w:eastAsia="tr-TR"/>
                      <w14:ligatures w14:val="none"/>
                    </w:rPr>
                    <w:t>(1) Yönetmeliğin 34 üncü maddesi çerçevesinde, İthalatta Haksız Rekabeti Değerlendirme Kurulunca, İthalatta Haksız Rekabetin Önlenmesine İlişkin Tebliğ (Tebliğ No: 2009/6) ile Malezya menşeli/çıkışlı 8415.10.90.00.11 ile 8415.10.90.00.19 </w:t>
                  </w:r>
                  <w:proofErr w:type="spellStart"/>
                  <w:r w:rsidRPr="00B9221E">
                    <w:rPr>
                      <w:rFonts w:ascii="Times New Roman" w:eastAsia="Times New Roman" w:hAnsi="Times New Roman" w:cs="Times New Roman"/>
                      <w:kern w:val="0"/>
                      <w:sz w:val="18"/>
                      <w:szCs w:val="18"/>
                      <w:lang w:eastAsia="tr-TR"/>
                      <w14:ligatures w14:val="none"/>
                    </w:rPr>
                    <w:t>GTİP’leri</w:t>
                  </w:r>
                  <w:proofErr w:type="spellEnd"/>
                  <w:r w:rsidRPr="00B9221E">
                    <w:rPr>
                      <w:rFonts w:ascii="Times New Roman" w:eastAsia="Times New Roman" w:hAnsi="Times New Roman" w:cs="Times New Roman"/>
                      <w:kern w:val="0"/>
                      <w:sz w:val="18"/>
                      <w:szCs w:val="18"/>
                      <w:lang w:eastAsia="tr-TR"/>
                      <w14:ligatures w14:val="none"/>
                    </w:rPr>
                    <w:t> altında yer alan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 8415.90.00.90.09 </w:t>
                  </w:r>
                  <w:proofErr w:type="spellStart"/>
                  <w:r w:rsidRPr="00B9221E">
                    <w:rPr>
                      <w:rFonts w:ascii="Times New Roman" w:eastAsia="Times New Roman" w:hAnsi="Times New Roman" w:cs="Times New Roman"/>
                      <w:kern w:val="0"/>
                      <w:sz w:val="18"/>
                      <w:szCs w:val="18"/>
                      <w:lang w:eastAsia="tr-TR"/>
                      <w14:ligatures w14:val="none"/>
                    </w:rPr>
                    <w:t>GTİP’i</w:t>
                  </w:r>
                  <w:proofErr w:type="spellEnd"/>
                  <w:r w:rsidRPr="00B9221E">
                    <w:rPr>
                      <w:rFonts w:ascii="Times New Roman" w:eastAsia="Times New Roman" w:hAnsi="Times New Roman" w:cs="Times New Roman"/>
                      <w:kern w:val="0"/>
                      <w:sz w:val="18"/>
                      <w:szCs w:val="18"/>
                      <w:lang w:eastAsia="tr-TR"/>
                      <w14:ligatures w14:val="none"/>
                    </w:rPr>
                    <w:t> altında yer alan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klimaların dış üniteleri (değişken soğutucu debili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 sistemleri dış ünitesi hariç)” ve 8415.90.00.90.12 </w:t>
                  </w:r>
                  <w:proofErr w:type="spellStart"/>
                  <w:r w:rsidRPr="00B9221E">
                    <w:rPr>
                      <w:rFonts w:ascii="Times New Roman" w:eastAsia="Times New Roman" w:hAnsi="Times New Roman" w:cs="Times New Roman"/>
                      <w:kern w:val="0"/>
                      <w:sz w:val="18"/>
                      <w:szCs w:val="18"/>
                      <w:lang w:eastAsia="tr-TR"/>
                      <w14:ligatures w14:val="none"/>
                    </w:rPr>
                    <w:t>GTİP’i</w:t>
                  </w:r>
                  <w:proofErr w:type="spellEnd"/>
                  <w:r w:rsidRPr="00B9221E">
                    <w:rPr>
                      <w:rFonts w:ascii="Times New Roman" w:eastAsia="Times New Roman" w:hAnsi="Times New Roman" w:cs="Times New Roman"/>
                      <w:kern w:val="0"/>
                      <w:sz w:val="18"/>
                      <w:szCs w:val="18"/>
                      <w:lang w:eastAsia="tr-TR"/>
                      <w14:ligatures w14:val="none"/>
                    </w:rPr>
                    <w:t> altında yer alan “yalnız duvar tipi </w:t>
                  </w:r>
                  <w:proofErr w:type="spellStart"/>
                  <w:r w:rsidRPr="00B9221E">
                    <w:rPr>
                      <w:rFonts w:ascii="Times New Roman" w:eastAsia="Times New Roman" w:hAnsi="Times New Roman" w:cs="Times New Roman"/>
                      <w:kern w:val="0"/>
                      <w:sz w:val="18"/>
                      <w:szCs w:val="18"/>
                      <w:lang w:eastAsia="tr-TR"/>
                      <w14:ligatures w14:val="none"/>
                    </w:rPr>
                    <w:t>split</w:t>
                  </w:r>
                  <w:proofErr w:type="spellEnd"/>
                  <w:r w:rsidRPr="00B9221E">
                    <w:rPr>
                      <w:rFonts w:ascii="Times New Roman" w:eastAsia="Times New Roman" w:hAnsi="Times New Roman" w:cs="Times New Roman"/>
                      <w:kern w:val="0"/>
                      <w:sz w:val="18"/>
                      <w:szCs w:val="18"/>
                      <w:lang w:eastAsia="tr-TR"/>
                      <w14:ligatures w14:val="none"/>
                    </w:rPr>
                    <w:t> klimaların iç üniteleri” ithalatında uygulanan önlem kapsamında ilişkili olduğu “Hitachi </w:t>
                  </w:r>
                  <w:proofErr w:type="spellStart"/>
                  <w:r w:rsidRPr="00B9221E">
                    <w:rPr>
                      <w:rFonts w:ascii="Times New Roman" w:eastAsia="Times New Roman" w:hAnsi="Times New Roman" w:cs="Times New Roman"/>
                      <w:kern w:val="0"/>
                      <w:sz w:val="18"/>
                      <w:szCs w:val="18"/>
                      <w:lang w:eastAsia="tr-TR"/>
                      <w14:ligatures w14:val="none"/>
                    </w:rPr>
                    <w:t>Air</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Conditioning</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Products</w:t>
                  </w:r>
                  <w:proofErr w:type="spellEnd"/>
                  <w:r w:rsidRPr="00B9221E">
                    <w:rPr>
                      <w:rFonts w:ascii="Times New Roman" w:eastAsia="Times New Roman" w:hAnsi="Times New Roman" w:cs="Times New Roman"/>
                      <w:kern w:val="0"/>
                      <w:sz w:val="18"/>
                      <w:szCs w:val="18"/>
                      <w:lang w:eastAsia="tr-TR"/>
                      <w14:ligatures w14:val="none"/>
                    </w:rPr>
                    <w:t> (M)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için tanınan muafiyetin “Bosch Home </w:t>
                  </w:r>
                  <w:proofErr w:type="spellStart"/>
                  <w:r w:rsidRPr="00B9221E">
                    <w:rPr>
                      <w:rFonts w:ascii="Times New Roman" w:eastAsia="Times New Roman" w:hAnsi="Times New Roman" w:cs="Times New Roman"/>
                      <w:kern w:val="0"/>
                      <w:sz w:val="18"/>
                      <w:szCs w:val="18"/>
                      <w:lang w:eastAsia="tr-TR"/>
                      <w14:ligatures w14:val="none"/>
                    </w:rPr>
                    <w:t>Comfort</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Malaysia</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için değerlendirilmesine yönelik olarak kısmi ara gözden geçirme soruşturması açılmasına karar verilmiştir.</w:t>
                  </w:r>
                </w:p>
                <w:p w14:paraId="70B97DD5"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(2) Soruşturma, Genel Müdürlük tarafından yürütülecektir.</w:t>
                  </w:r>
                </w:p>
                <w:p w14:paraId="171D3F14"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Soru formları ve bilgilerin toplanması</w:t>
                  </w:r>
                </w:p>
                <w:p w14:paraId="5809AEEB"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9- </w:t>
                  </w:r>
                  <w:r w:rsidRPr="00B9221E">
                    <w:rPr>
                      <w:rFonts w:ascii="Times New Roman" w:eastAsia="Times New Roman" w:hAnsi="Times New Roman" w:cs="Times New Roman"/>
                      <w:kern w:val="0"/>
                      <w:sz w:val="18"/>
                      <w:szCs w:val="18"/>
                      <w:lang w:eastAsia="tr-TR"/>
                      <w14:ligatures w14:val="none"/>
                    </w:rPr>
                    <w:t>(1) Soruşturma için gerekli bilgilerin temini amacıyla, söz konusu eşyanın bilinen ithalatçıları ile “Bosch Home </w:t>
                  </w:r>
                  <w:proofErr w:type="spellStart"/>
                  <w:r w:rsidRPr="00B9221E">
                    <w:rPr>
                      <w:rFonts w:ascii="Times New Roman" w:eastAsia="Times New Roman" w:hAnsi="Times New Roman" w:cs="Times New Roman"/>
                      <w:kern w:val="0"/>
                      <w:sz w:val="18"/>
                      <w:szCs w:val="18"/>
                      <w:lang w:eastAsia="tr-TR"/>
                      <w14:ligatures w14:val="none"/>
                    </w:rPr>
                    <w:t>Comfort</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Malaysia</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Sdn</w:t>
                  </w:r>
                  <w:proofErr w:type="spellEnd"/>
                  <w:r w:rsidRPr="00B9221E">
                    <w:rPr>
                      <w:rFonts w:ascii="Times New Roman" w:eastAsia="Times New Roman" w:hAnsi="Times New Roman" w:cs="Times New Roman"/>
                      <w:kern w:val="0"/>
                      <w:sz w:val="18"/>
                      <w:szCs w:val="18"/>
                      <w:lang w:eastAsia="tr-TR"/>
                      <w14:ligatures w14:val="none"/>
                    </w:rPr>
                    <w:t>. </w:t>
                  </w:r>
                  <w:proofErr w:type="spellStart"/>
                  <w:r w:rsidRPr="00B9221E">
                    <w:rPr>
                      <w:rFonts w:ascii="Times New Roman" w:eastAsia="Times New Roman" w:hAnsi="Times New Roman" w:cs="Times New Roman"/>
                      <w:kern w:val="0"/>
                      <w:sz w:val="18"/>
                      <w:szCs w:val="18"/>
                      <w:lang w:eastAsia="tr-TR"/>
                      <w14:ligatures w14:val="none"/>
                    </w:rPr>
                    <w:t>Bhd</w:t>
                  </w:r>
                  <w:proofErr w:type="spellEnd"/>
                  <w:r w:rsidRPr="00B9221E">
                    <w:rPr>
                      <w:rFonts w:ascii="Times New Roman" w:eastAsia="Times New Roman" w:hAnsi="Times New Roman" w:cs="Times New Roman"/>
                      <w:kern w:val="0"/>
                      <w:sz w:val="18"/>
                      <w:szCs w:val="18"/>
                      <w:lang w:eastAsia="tr-TR"/>
                      <w14:ligatures w14:val="none"/>
                    </w:rPr>
                    <w:t>.” firmasına ve Malezya’nın Ankara’daki büyükelçiliğine soruşturmanın açılışına ilişkin bildirimde bulunulur. Bildirimde soruşturmanın açılış tebliği ve soru formlarına erişim hususlarında bilgiye yer verilir.</w:t>
                  </w:r>
                </w:p>
                <w:p w14:paraId="0688403F"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(2) Bildirim gönderilemeyen veya kendilerine bildirim ulaşmayan diğer ilgili taraflar, soruşturma ile ilgili bilgilere Bakanlığın https://www.ticaret.gov.tr/ithalat uzantılı internet sitesinden sırasıyla “Ticaret Politikası Savunma Araçları”, “İzleme ve Önlemlerin Etkisiz Kılınması”, “Soruşturmalar” sekmelerini takip ederek erişebilir.</w:t>
                  </w:r>
                </w:p>
                <w:p w14:paraId="34156051"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(3) Soruşturmaya ilişkin yazılı ve sözlü iletişim Türkçe yapılır. Soru formuna yanıtlar hariç olmak üzere, Türkçe dışında bir dilde sunulan hiçbir bilgi, belge, görüş ve talep dikkate alınmaz.</w:t>
                  </w:r>
                </w:p>
                <w:p w14:paraId="331CDC71"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(4) Soruşturma kapsamında yurt dışında yerleşik firma, kurum ya da kuruluşların soru formu cevaplarını bir yasal temsilci vasıtasıyla Bakanlığa iletmeleri durumunda, ilgili firma, kurum ya da kuruluşların anılan yasal temsilci adına resmî bir vekâletname (yetki belgesi) düzenlemesi gerekir. Düzenlenecek vekâletnamenin soru formu cevaplarını ileten yurt dışında yerleşik firma, kurum ya da kuruluşun imza yetkilisi tarafından imzalanmış olması; Türkçe veya İngilizce tercümesinin sunulması, Yabancı Resmî Belgelerin Tasdiki Mecburiyetinin Kaldırılması Sözleşmesine uygun olarak “</w:t>
                  </w:r>
                  <w:proofErr w:type="spellStart"/>
                  <w:r w:rsidRPr="00B9221E">
                    <w:rPr>
                      <w:rFonts w:ascii="Times New Roman" w:eastAsia="Times New Roman" w:hAnsi="Times New Roman" w:cs="Times New Roman"/>
                      <w:kern w:val="0"/>
                      <w:sz w:val="18"/>
                      <w:szCs w:val="18"/>
                      <w:lang w:eastAsia="tr-TR"/>
                      <w14:ligatures w14:val="none"/>
                    </w:rPr>
                    <w:t>apostil</w:t>
                  </w:r>
                  <w:proofErr w:type="spellEnd"/>
                  <w:r w:rsidRPr="00B9221E">
                    <w:rPr>
                      <w:rFonts w:ascii="Times New Roman" w:eastAsia="Times New Roman" w:hAnsi="Times New Roman" w:cs="Times New Roman"/>
                      <w:kern w:val="0"/>
                      <w:sz w:val="18"/>
                      <w:szCs w:val="18"/>
                      <w:lang w:eastAsia="tr-TR"/>
                      <w14:ligatures w14:val="none"/>
                    </w:rPr>
                    <w:t> tasdik şerhi” taşıması, </w:t>
                  </w:r>
                  <w:proofErr w:type="spellStart"/>
                  <w:r w:rsidRPr="00B9221E">
                    <w:rPr>
                      <w:rFonts w:ascii="Times New Roman" w:eastAsia="Times New Roman" w:hAnsi="Times New Roman" w:cs="Times New Roman"/>
                      <w:kern w:val="0"/>
                      <w:sz w:val="18"/>
                      <w:szCs w:val="18"/>
                      <w:lang w:eastAsia="tr-TR"/>
                      <w14:ligatures w14:val="none"/>
                    </w:rPr>
                    <w:t>apostil</w:t>
                  </w:r>
                  <w:proofErr w:type="spellEnd"/>
                  <w:r w:rsidRPr="00B9221E">
                    <w:rPr>
                      <w:rFonts w:ascii="Times New Roman" w:eastAsia="Times New Roman" w:hAnsi="Times New Roman" w:cs="Times New Roman"/>
                      <w:kern w:val="0"/>
                      <w:sz w:val="18"/>
                      <w:szCs w:val="18"/>
                      <w:lang w:eastAsia="tr-TR"/>
                      <w14:ligatures w14:val="none"/>
                    </w:rPr>
                    <w:t> tasdik şerhi bulunmaması halinde o ülkedeki Türk Konsolosluğunun tasdikini içermesi gerekir.</w:t>
                  </w:r>
                </w:p>
                <w:p w14:paraId="7541ACCB"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Süreler</w:t>
                  </w:r>
                </w:p>
                <w:p w14:paraId="738EEE77"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10- </w:t>
                  </w:r>
                  <w:r w:rsidRPr="00B9221E">
                    <w:rPr>
                      <w:rFonts w:ascii="Times New Roman" w:eastAsia="Times New Roman" w:hAnsi="Times New Roman" w:cs="Times New Roman"/>
                      <w:kern w:val="0"/>
                      <w:sz w:val="18"/>
                      <w:szCs w:val="18"/>
                      <w:lang w:eastAsia="tr-TR"/>
                      <w14:ligatures w14:val="none"/>
                    </w:rPr>
                    <w:t>(1) Soru formunu cevaplandırma süresi, soruşturma açılmasına dair bildirimin gönderildiği tarihten itibaren posta süresi dâhil 37 gündür. 9 uncu maddede belirtilen, bildirimin ve soru formlarının gönderilmediği ilgili taraflar ise, bu Tebliğin yayımı tarihinden itibaren işleyecek 37 günlük süre ile bağlıdır.</w:t>
                  </w:r>
                </w:p>
                <w:p w14:paraId="4D5F3BD9"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(2) Soru formunda istenilen bilgilerin haricinde, soruşturmayla ilgili olduğu düşünülen diğer bilgi, belge ve görüşlerin dikkate alınabilmesi için, bu Tebliğin yayımı tarihinden itibaren en geç 37 gün içinde Genel Müdürlüğe yazılı olarak ulaştırılması gerekir.</w:t>
                  </w:r>
                </w:p>
                <w:p w14:paraId="5987CDF8"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(3) Soruşturmanın sonucundan etkilenebileceklerini iddia eden diğer ilgili tarafların da (yerli üreticiler, ilgili meslek kuruluşları, tüketici dernekleri, üretim dalındaki işçi veya işveren sendikaları ve benzeri) görüşleri ile konuya ilişkin her türlü bilgi ve belgeyi bu Tebliğin yayımı tarihinden itibaren soruşturmanın akışını etkilemeyecek şekilde soruşturma süreci içerisinde yazılı olarak Genel Müdürlüğe bildirmeleri gerekir.</w:t>
                  </w:r>
                </w:p>
                <w:p w14:paraId="49F590A3"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İş birliğine gelinmemesi</w:t>
                  </w:r>
                </w:p>
                <w:p w14:paraId="6CBAAC7B"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11- </w:t>
                  </w:r>
                  <w:r w:rsidRPr="00B9221E">
                    <w:rPr>
                      <w:rFonts w:ascii="Times New Roman" w:eastAsia="Times New Roman" w:hAnsi="Times New Roman" w:cs="Times New Roman"/>
                      <w:kern w:val="0"/>
                      <w:sz w:val="18"/>
                      <w:szCs w:val="18"/>
                      <w:lang w:eastAsia="tr-TR"/>
                      <w14:ligatures w14:val="none"/>
                    </w:rPr>
                    <w:t xml:space="preserve">(1) Yönetmeliğin </w:t>
                  </w:r>
                  <w:proofErr w:type="gramStart"/>
                  <w:r w:rsidRPr="00B9221E">
                    <w:rPr>
                      <w:rFonts w:ascii="Times New Roman" w:eastAsia="Times New Roman" w:hAnsi="Times New Roman" w:cs="Times New Roman"/>
                      <w:kern w:val="0"/>
                      <w:sz w:val="18"/>
                      <w:szCs w:val="18"/>
                      <w:lang w:eastAsia="tr-TR"/>
                      <w14:ligatures w14:val="none"/>
                    </w:rPr>
                    <w:t>26 ncı</w:t>
                  </w:r>
                  <w:proofErr w:type="gramEnd"/>
                  <w:r w:rsidRPr="00B9221E">
                    <w:rPr>
                      <w:rFonts w:ascii="Times New Roman" w:eastAsia="Times New Roman" w:hAnsi="Times New Roman" w:cs="Times New Roman"/>
                      <w:kern w:val="0"/>
                      <w:sz w:val="18"/>
                      <w:szCs w:val="18"/>
                      <w:lang w:eastAsia="tr-TR"/>
                      <w14:ligatures w14:val="none"/>
                    </w:rPr>
                    <w:t> maddesinde belirtildiği üzere, taraflardan birinin belirtilen süreler içinde gerekli bilgiyi sağlamaması veya yanlış bilgi vermesi ya da bilgi vermeyi reddetmesi veya soruşturmayı engellediğinin anlaşılması halinde soruşturmaya ilişkin karar, olumlu veya olumsuz, mevcut verilere göre alınır.</w:t>
                  </w:r>
                </w:p>
                <w:p w14:paraId="5077E0C5"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Yetkili merci ve adresi</w:t>
                  </w:r>
                </w:p>
                <w:p w14:paraId="21F6C999"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12- </w:t>
                  </w:r>
                  <w:r w:rsidRPr="00B9221E">
                    <w:rPr>
                      <w:rFonts w:ascii="Times New Roman" w:eastAsia="Times New Roman" w:hAnsi="Times New Roman" w:cs="Times New Roman"/>
                      <w:kern w:val="0"/>
                      <w:sz w:val="18"/>
                      <w:szCs w:val="18"/>
                      <w:lang w:eastAsia="tr-TR"/>
                      <w14:ligatures w14:val="none"/>
                    </w:rPr>
                    <w:t>(1) Soruşturma ile ilgili bilgi ve belgeler ile görüşlerin aşağıda belirtilen yetkili merciye iletilmesi gerekir:</w:t>
                  </w:r>
                </w:p>
                <w:p w14:paraId="13A0B8D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T.C. Ticaret Bakanlığı</w:t>
                  </w:r>
                </w:p>
                <w:p w14:paraId="17E0DEAA"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İthalat Genel Müdürlüğü</w:t>
                  </w:r>
                </w:p>
                <w:p w14:paraId="28CAD436"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İthalat Politikalarını İzleme ve Değerlendirme Dairesi</w:t>
                  </w:r>
                </w:p>
                <w:p w14:paraId="083BD4CB"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Adres: Söğütözü Mahallesi Nizami </w:t>
                  </w:r>
                  <w:proofErr w:type="spellStart"/>
                  <w:r w:rsidRPr="00B9221E">
                    <w:rPr>
                      <w:rFonts w:ascii="Times New Roman" w:eastAsia="Times New Roman" w:hAnsi="Times New Roman" w:cs="Times New Roman"/>
                      <w:kern w:val="0"/>
                      <w:sz w:val="18"/>
                      <w:szCs w:val="18"/>
                      <w:lang w:eastAsia="tr-TR"/>
                      <w14:ligatures w14:val="none"/>
                    </w:rPr>
                    <w:t>Gencevi</w:t>
                  </w:r>
                  <w:proofErr w:type="spellEnd"/>
                  <w:r w:rsidRPr="00B9221E">
                    <w:rPr>
                      <w:rFonts w:ascii="Times New Roman" w:eastAsia="Times New Roman" w:hAnsi="Times New Roman" w:cs="Times New Roman"/>
                      <w:kern w:val="0"/>
                      <w:sz w:val="18"/>
                      <w:szCs w:val="18"/>
                      <w:lang w:eastAsia="tr-TR"/>
                      <w14:ligatures w14:val="none"/>
                    </w:rPr>
                    <w:t> Caddesi No: 63/1 06530 Çankaya/ANKARA</w:t>
                  </w:r>
                </w:p>
                <w:p w14:paraId="7A5F138F"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Tel: +90 312 204 9294</w:t>
                  </w:r>
                </w:p>
                <w:p w14:paraId="2C7E4E69"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u w:val="single"/>
                      <w:lang w:eastAsia="tr-TR"/>
                      <w14:ligatures w14:val="none"/>
                    </w:rPr>
                    <w:t>www.ticaret.gov.tr</w:t>
                  </w:r>
                </w:p>
                <w:p w14:paraId="0492D68F"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(2) Soruşturmada “Türkiye’de yerleşik firma, kurum ve kuruluşlardan ilgili taraf olmak isteyenler,” soru formlarına cevapları ile soruşturma ile ilgili görüşlerini, kendilerine ait KEP adreslerinden Bakanlığın aşağıda yer alan KEP adresine ve e-posta adresine gönderir.</w:t>
                  </w:r>
                </w:p>
                <w:p w14:paraId="103DD936"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KEP Adresi: </w:t>
                  </w:r>
                  <w:r w:rsidRPr="00B9221E">
                    <w:rPr>
                      <w:rFonts w:ascii="Times New Roman" w:eastAsia="Times New Roman" w:hAnsi="Times New Roman" w:cs="Times New Roman"/>
                      <w:kern w:val="0"/>
                      <w:sz w:val="18"/>
                      <w:szCs w:val="18"/>
                      <w:u w:val="single"/>
                      <w:lang w:eastAsia="tr-TR"/>
                      <w14:ligatures w14:val="none"/>
                    </w:rPr>
                    <w:t>ticaretbakanligi@hs01.kep.tr</w:t>
                  </w:r>
                </w:p>
                <w:p w14:paraId="2FC29501"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E-posta Adresi: </w:t>
                  </w:r>
                  <w:r w:rsidRPr="00B9221E">
                    <w:rPr>
                      <w:rFonts w:ascii="Times New Roman" w:eastAsia="Times New Roman" w:hAnsi="Times New Roman" w:cs="Times New Roman"/>
                      <w:kern w:val="0"/>
                      <w:sz w:val="18"/>
                      <w:szCs w:val="18"/>
                      <w:u w:val="single"/>
                      <w:lang w:eastAsia="tr-TR"/>
                      <w14:ligatures w14:val="none"/>
                    </w:rPr>
                    <w:t>oeksorusturma@ticaret.gov.tr</w:t>
                  </w:r>
                </w:p>
                <w:p w14:paraId="56DB1D88"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kern w:val="0"/>
                      <w:sz w:val="18"/>
                      <w:szCs w:val="18"/>
                      <w:lang w:eastAsia="tr-TR"/>
                      <w14:ligatures w14:val="none"/>
                    </w:rPr>
                    <w:t>(3) Soruşturmada “yurt dışında yerleşik firma, kurum ve kuruluşlardan ilgili taraf olmak isteyenler,” soru formlarına cevapları ile soruşturma ile ilgili görüşlerini Bakanlığın yukarıda yer alan posta ve e-posta adreslerine gönderir.</w:t>
                  </w:r>
                </w:p>
                <w:p w14:paraId="2F08BFE7"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Soruşturma başlangıç tarihi</w:t>
                  </w:r>
                </w:p>
                <w:p w14:paraId="7DB6BE0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13- </w:t>
                  </w:r>
                  <w:r w:rsidRPr="00B9221E">
                    <w:rPr>
                      <w:rFonts w:ascii="Times New Roman" w:eastAsia="Times New Roman" w:hAnsi="Times New Roman" w:cs="Times New Roman"/>
                      <w:kern w:val="0"/>
                      <w:sz w:val="18"/>
                      <w:szCs w:val="18"/>
                      <w:lang w:eastAsia="tr-TR"/>
                      <w14:ligatures w14:val="none"/>
                    </w:rPr>
                    <w:t>(1) Soruşturma, bu Tebliğin yayımı tarihinde başlamış kabul edilir.</w:t>
                  </w:r>
                </w:p>
                <w:p w14:paraId="66A627AE"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Yürürlük</w:t>
                  </w:r>
                </w:p>
                <w:p w14:paraId="0F4D1D26"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14- </w:t>
                  </w:r>
                  <w:r w:rsidRPr="00B9221E">
                    <w:rPr>
                      <w:rFonts w:ascii="Times New Roman" w:eastAsia="Times New Roman" w:hAnsi="Times New Roman" w:cs="Times New Roman"/>
                      <w:kern w:val="0"/>
                      <w:sz w:val="18"/>
                      <w:szCs w:val="18"/>
                      <w:lang w:eastAsia="tr-TR"/>
                      <w14:ligatures w14:val="none"/>
                    </w:rPr>
                    <w:t>(1) Bu Tebliğ yayımı tarihinde yürürlüğe girer.</w:t>
                  </w:r>
                </w:p>
                <w:p w14:paraId="1C63F39A"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Yürütme</w:t>
                  </w:r>
                </w:p>
                <w:p w14:paraId="418528A5" w14:textId="77777777" w:rsidR="00B9221E" w:rsidRPr="00B9221E" w:rsidRDefault="00B9221E" w:rsidP="00B9221E">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B9221E">
                    <w:rPr>
                      <w:rFonts w:ascii="Times New Roman" w:eastAsia="Times New Roman" w:hAnsi="Times New Roman" w:cs="Times New Roman"/>
                      <w:b/>
                      <w:bCs/>
                      <w:kern w:val="0"/>
                      <w:sz w:val="18"/>
                      <w:szCs w:val="18"/>
                      <w:lang w:eastAsia="tr-TR"/>
                      <w14:ligatures w14:val="none"/>
                    </w:rPr>
                    <w:t>MADDE 15- </w:t>
                  </w:r>
                  <w:r w:rsidRPr="00B9221E">
                    <w:rPr>
                      <w:rFonts w:ascii="Times New Roman" w:eastAsia="Times New Roman" w:hAnsi="Times New Roman" w:cs="Times New Roman"/>
                      <w:kern w:val="0"/>
                      <w:sz w:val="18"/>
                      <w:szCs w:val="18"/>
                      <w:lang w:eastAsia="tr-TR"/>
                      <w14:ligatures w14:val="none"/>
                    </w:rPr>
                    <w:t>(1) Bu Tebliğ hükümlerini Ticaret Bakanı yürütür.</w:t>
                  </w:r>
                </w:p>
                <w:p w14:paraId="2C7529A5" w14:textId="77777777" w:rsidR="00B9221E" w:rsidRPr="00B9221E" w:rsidRDefault="00B9221E" w:rsidP="00B9221E">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B9221E">
                    <w:rPr>
                      <w:rFonts w:ascii="Arial" w:eastAsia="Times New Roman" w:hAnsi="Arial" w:cs="Arial"/>
                      <w:b/>
                      <w:bCs/>
                      <w:color w:val="000080"/>
                      <w:kern w:val="0"/>
                      <w:sz w:val="18"/>
                      <w:szCs w:val="18"/>
                      <w:lang w:eastAsia="tr-TR"/>
                      <w14:ligatures w14:val="none"/>
                    </w:rPr>
                    <w:t> </w:t>
                  </w:r>
                </w:p>
              </w:tc>
            </w:tr>
          </w:tbl>
          <w:p w14:paraId="06648AAE" w14:textId="77777777" w:rsidR="00B9221E" w:rsidRPr="00B9221E" w:rsidRDefault="00B9221E" w:rsidP="00B9221E">
            <w:pPr>
              <w:spacing w:after="0" w:line="240" w:lineRule="auto"/>
              <w:rPr>
                <w:rFonts w:ascii="Times New Roman" w:eastAsia="Times New Roman" w:hAnsi="Times New Roman" w:cs="Times New Roman"/>
                <w:kern w:val="0"/>
                <w:sz w:val="24"/>
                <w:szCs w:val="24"/>
                <w:lang w:eastAsia="tr-TR"/>
                <w14:ligatures w14:val="none"/>
              </w:rPr>
            </w:pPr>
          </w:p>
        </w:tc>
      </w:tr>
    </w:tbl>
    <w:p w14:paraId="7159183E" w14:textId="77777777" w:rsidR="00B9221E" w:rsidRPr="00B9221E" w:rsidRDefault="00B9221E" w:rsidP="00B9221E">
      <w:pPr>
        <w:spacing w:after="0" w:line="240" w:lineRule="auto"/>
        <w:jc w:val="center"/>
        <w:rPr>
          <w:rFonts w:ascii="Times New Roman" w:eastAsia="Times New Roman" w:hAnsi="Times New Roman" w:cs="Times New Roman"/>
          <w:color w:val="000000"/>
          <w:kern w:val="0"/>
          <w:sz w:val="27"/>
          <w:szCs w:val="27"/>
          <w:lang w:eastAsia="tr-TR"/>
          <w14:ligatures w14:val="none"/>
        </w:rPr>
      </w:pPr>
      <w:r w:rsidRPr="00B9221E">
        <w:rPr>
          <w:rFonts w:ascii="Times New Roman" w:eastAsia="Times New Roman" w:hAnsi="Times New Roman" w:cs="Times New Roman"/>
          <w:color w:val="000000"/>
          <w:kern w:val="0"/>
          <w:sz w:val="27"/>
          <w:szCs w:val="27"/>
          <w:lang w:eastAsia="tr-TR"/>
          <w14:ligatures w14:val="none"/>
        </w:rPr>
        <w:lastRenderedPageBreak/>
        <w:t> </w:t>
      </w:r>
    </w:p>
    <w:p w14:paraId="3ADB47B7" w14:textId="77777777" w:rsidR="009A391C" w:rsidRDefault="009A391C"/>
    <w:sectPr w:rsidR="009A3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01"/>
    <w:rsid w:val="00321E8D"/>
    <w:rsid w:val="005B0601"/>
    <w:rsid w:val="009A391C"/>
    <w:rsid w:val="00B9221E"/>
    <w:rsid w:val="00EF25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85929-D962-4322-AD3E-B73476E16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060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5B060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5B0601"/>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5B0601"/>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5B0601"/>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5B060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060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060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060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0601"/>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5B0601"/>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5B0601"/>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5B0601"/>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5B0601"/>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5B060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060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060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0601"/>
    <w:rPr>
      <w:rFonts w:eastAsiaTheme="majorEastAsia" w:cstheme="majorBidi"/>
      <w:color w:val="272727" w:themeColor="text1" w:themeTint="D8"/>
    </w:rPr>
  </w:style>
  <w:style w:type="paragraph" w:styleId="KonuBal">
    <w:name w:val="Title"/>
    <w:basedOn w:val="Normal"/>
    <w:next w:val="Normal"/>
    <w:link w:val="KonuBalChar"/>
    <w:uiPriority w:val="10"/>
    <w:qFormat/>
    <w:rsid w:val="005B0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060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060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060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060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0601"/>
    <w:rPr>
      <w:i/>
      <w:iCs/>
      <w:color w:val="404040" w:themeColor="text1" w:themeTint="BF"/>
    </w:rPr>
  </w:style>
  <w:style w:type="paragraph" w:styleId="ListeParagraf">
    <w:name w:val="List Paragraph"/>
    <w:basedOn w:val="Normal"/>
    <w:uiPriority w:val="34"/>
    <w:qFormat/>
    <w:rsid w:val="005B0601"/>
    <w:pPr>
      <w:ind w:left="720"/>
      <w:contextualSpacing/>
    </w:pPr>
  </w:style>
  <w:style w:type="character" w:styleId="GlVurgulama">
    <w:name w:val="Intense Emphasis"/>
    <w:basedOn w:val="VarsaylanParagrafYazTipi"/>
    <w:uiPriority w:val="21"/>
    <w:qFormat/>
    <w:rsid w:val="005B0601"/>
    <w:rPr>
      <w:i/>
      <w:iCs/>
      <w:color w:val="2E74B5" w:themeColor="accent1" w:themeShade="BF"/>
    </w:rPr>
  </w:style>
  <w:style w:type="paragraph" w:styleId="GlAlnt">
    <w:name w:val="Intense Quote"/>
    <w:basedOn w:val="Normal"/>
    <w:next w:val="Normal"/>
    <w:link w:val="GlAlntChar"/>
    <w:uiPriority w:val="30"/>
    <w:qFormat/>
    <w:rsid w:val="005B060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5B0601"/>
    <w:rPr>
      <w:i/>
      <w:iCs/>
      <w:color w:val="2E74B5" w:themeColor="accent1" w:themeShade="BF"/>
    </w:rPr>
  </w:style>
  <w:style w:type="character" w:styleId="GlBavuru">
    <w:name w:val="Intense Reference"/>
    <w:basedOn w:val="VarsaylanParagrafYazTipi"/>
    <w:uiPriority w:val="32"/>
    <w:qFormat/>
    <w:rsid w:val="005B060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1785</Words>
  <Characters>10181</Characters>
  <Application>Microsoft Office Word</Application>
  <DocSecurity>0</DocSecurity>
  <Lines>84</Lines>
  <Paragraphs>23</Paragraphs>
  <ScaleCrop>false</ScaleCrop>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YILMAZ – ASSET GUMRUK / ISTANBUL</dc:creator>
  <cp:keywords/>
  <dc:description/>
  <cp:lastModifiedBy>Onal YILMAZ – ASSET GUMRUK / ISTANBUL</cp:lastModifiedBy>
  <cp:revision>2</cp:revision>
  <dcterms:created xsi:type="dcterms:W3CDTF">2026-08-21T04:51:00Z</dcterms:created>
  <dcterms:modified xsi:type="dcterms:W3CDTF">2026-08-21T04:51:00Z</dcterms:modified>
</cp:coreProperties>
</file>