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AE08" w14:textId="1A8EBCDB" w:rsidR="009A391C" w:rsidRDefault="004D33BD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Malezya Menşe Belge</w:t>
      </w:r>
      <w:r>
        <w:rPr>
          <w:rFonts w:ascii="Segoe UI" w:hAnsi="Segoe UI" w:cs="Segoe UI"/>
          <w:sz w:val="21"/>
          <w:szCs w:val="21"/>
          <w:shd w:val="clear" w:color="auto" w:fill="FFFFFF"/>
        </w:rPr>
        <w:t>leri</w:t>
      </w:r>
      <w:r>
        <w:rPr>
          <w:rFonts w:ascii="Segoe UI" w:hAnsi="Segoe UI" w:cs="Segoe UI"/>
          <w:sz w:val="21"/>
          <w:szCs w:val="21"/>
          <w:shd w:val="clear" w:color="auto" w:fill="FFFFFF"/>
        </w:rPr>
        <w:t>ne Artikel Numarası Yazıl</w:t>
      </w:r>
      <w:r>
        <w:rPr>
          <w:rFonts w:ascii="Segoe UI" w:hAnsi="Segoe UI" w:cs="Segoe UI"/>
          <w:sz w:val="21"/>
          <w:szCs w:val="21"/>
          <w:shd w:val="clear" w:color="auto" w:fill="FFFFFF"/>
        </w:rPr>
        <w:t>abilmesi Hakkında</w:t>
      </w:r>
    </w:p>
    <w:p w14:paraId="3E18B693" w14:textId="64184B9C" w:rsidR="004D33BD" w:rsidRDefault="004D33BD">
      <w:r>
        <w:rPr>
          <w:noProof/>
        </w:rPr>
        <w:drawing>
          <wp:inline distT="0" distB="0" distL="0" distR="0" wp14:anchorId="27E8F84D" wp14:editId="70576706">
            <wp:extent cx="7620000" cy="8515350"/>
            <wp:effectExtent l="0" t="0" r="0" b="0"/>
            <wp:docPr id="210566283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11"/>
    <w:rsid w:val="00321E8D"/>
    <w:rsid w:val="004D33BD"/>
    <w:rsid w:val="008E4411"/>
    <w:rsid w:val="009A391C"/>
    <w:rsid w:val="00E0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561A1"/>
  <w15:chartTrackingRefBased/>
  <w15:docId w15:val="{B0248BFC-F67D-4CB1-BA5B-455E2DB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E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44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44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44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44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44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441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441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44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44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44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44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44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44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441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44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441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441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61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2026-02-20T06:44:00Z</dcterms:created>
  <dcterms:modified xsi:type="dcterms:W3CDTF">2026-02-20T06:44:00Z</dcterms:modified>
</cp:coreProperties>
</file>