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Mar>
          <w:left w:w="0" w:type="dxa"/>
          <w:right w:w="0" w:type="dxa"/>
        </w:tblCellMar>
        <w:tblLook w:val="04A0" w:firstRow="1" w:lastRow="0" w:firstColumn="1" w:lastColumn="0" w:noHBand="0" w:noVBand="1"/>
      </w:tblPr>
      <w:tblGrid>
        <w:gridCol w:w="9072"/>
      </w:tblGrid>
      <w:tr w:rsidR="00F01A3F" w:rsidRPr="00F01A3F" w14:paraId="71FB076D"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F01A3F" w:rsidRPr="00F01A3F" w14:paraId="637B4FC3"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49CC3A1A" w14:textId="77777777" w:rsidR="00F01A3F" w:rsidRPr="00F01A3F" w:rsidRDefault="00F01A3F" w:rsidP="00F01A3F">
                  <w:r w:rsidRPr="00F01A3F">
                    <w:t>10 Ekim 2025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ADDE4C4" w14:textId="77777777" w:rsidR="00F01A3F" w:rsidRPr="00F01A3F" w:rsidRDefault="00F01A3F" w:rsidP="00F01A3F">
                  <w:r w:rsidRPr="00F01A3F">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6D9E0D90" w14:textId="77777777" w:rsidR="00F01A3F" w:rsidRPr="00F01A3F" w:rsidRDefault="00F01A3F" w:rsidP="00F01A3F">
                  <w:r w:rsidRPr="00F01A3F">
                    <w:t>Sayı : 33043</w:t>
                  </w:r>
                </w:p>
              </w:tc>
            </w:tr>
            <w:tr w:rsidR="00F01A3F" w:rsidRPr="00F01A3F" w14:paraId="4F9E261B" w14:textId="77777777">
              <w:trPr>
                <w:trHeight w:val="480"/>
                <w:jc w:val="center"/>
              </w:trPr>
              <w:tc>
                <w:tcPr>
                  <w:tcW w:w="8789" w:type="dxa"/>
                  <w:gridSpan w:val="3"/>
                  <w:tcMar>
                    <w:top w:w="0" w:type="dxa"/>
                    <w:left w:w="108" w:type="dxa"/>
                    <w:bottom w:w="0" w:type="dxa"/>
                    <w:right w:w="108" w:type="dxa"/>
                  </w:tcMar>
                  <w:vAlign w:val="center"/>
                  <w:hideMark/>
                </w:tcPr>
                <w:p w14:paraId="0CAFCED3" w14:textId="77777777" w:rsidR="00F01A3F" w:rsidRPr="00F01A3F" w:rsidRDefault="00F01A3F" w:rsidP="00F01A3F">
                  <w:r w:rsidRPr="00F01A3F">
                    <w:rPr>
                      <w:b/>
                      <w:bCs/>
                    </w:rPr>
                    <w:t>TEBLİĞ</w:t>
                  </w:r>
                </w:p>
              </w:tc>
            </w:tr>
            <w:tr w:rsidR="00F01A3F" w:rsidRPr="00F01A3F" w14:paraId="1B6C3A6B" w14:textId="77777777">
              <w:trPr>
                <w:trHeight w:val="480"/>
                <w:jc w:val="center"/>
              </w:trPr>
              <w:tc>
                <w:tcPr>
                  <w:tcW w:w="8789" w:type="dxa"/>
                  <w:gridSpan w:val="3"/>
                  <w:tcMar>
                    <w:top w:w="0" w:type="dxa"/>
                    <w:left w:w="108" w:type="dxa"/>
                    <w:bottom w:w="0" w:type="dxa"/>
                    <w:right w:w="108" w:type="dxa"/>
                  </w:tcMar>
                  <w:vAlign w:val="center"/>
                  <w:hideMark/>
                </w:tcPr>
                <w:p w14:paraId="0128AF28" w14:textId="77777777" w:rsidR="00F01A3F" w:rsidRPr="00F01A3F" w:rsidRDefault="00F01A3F" w:rsidP="00F01A3F">
                  <w:pPr>
                    <w:rPr>
                      <w:u w:val="single"/>
                    </w:rPr>
                  </w:pPr>
                  <w:r w:rsidRPr="00F01A3F">
                    <w:rPr>
                      <w:u w:val="single"/>
                    </w:rPr>
                    <w:t>Ticaret Bakanlığından:</w:t>
                  </w:r>
                </w:p>
                <w:p w14:paraId="10D440BD" w14:textId="77777777" w:rsidR="00F01A3F" w:rsidRPr="00F01A3F" w:rsidRDefault="00F01A3F" w:rsidP="00F01A3F">
                  <w:pPr>
                    <w:rPr>
                      <w:b/>
                      <w:bCs/>
                    </w:rPr>
                  </w:pPr>
                  <w:r w:rsidRPr="00F01A3F">
                    <w:rPr>
                      <w:b/>
                      <w:bCs/>
                    </w:rPr>
                    <w:t>İTHALATTA HAKSIZ REKABETİN ÖNLENMESİNE İLİŞKİN TEBLİĞ</w:t>
                  </w:r>
                </w:p>
                <w:p w14:paraId="39C456C6" w14:textId="77777777" w:rsidR="00F01A3F" w:rsidRPr="00F01A3F" w:rsidRDefault="00F01A3F" w:rsidP="00F01A3F">
                  <w:pPr>
                    <w:rPr>
                      <w:b/>
                      <w:bCs/>
                    </w:rPr>
                  </w:pPr>
                  <w:r w:rsidRPr="00F01A3F">
                    <w:rPr>
                      <w:b/>
                      <w:bCs/>
                    </w:rPr>
                    <w:t>(TEBLİĞ NO: 2025/35)</w:t>
                  </w:r>
                </w:p>
                <w:p w14:paraId="3C41AD2E" w14:textId="77777777" w:rsidR="00F01A3F" w:rsidRPr="00F01A3F" w:rsidRDefault="00F01A3F" w:rsidP="00F01A3F">
                  <w:r w:rsidRPr="00F01A3F">
                    <w:rPr>
                      <w:b/>
                      <w:bCs/>
                    </w:rPr>
                    <w:t>Amaç ve kapsam</w:t>
                  </w:r>
                </w:p>
                <w:p w14:paraId="3E9D8531" w14:textId="77777777" w:rsidR="00F01A3F" w:rsidRPr="00F01A3F" w:rsidRDefault="00F01A3F" w:rsidP="00F01A3F">
                  <w:r w:rsidRPr="00F01A3F">
                    <w:rPr>
                      <w:b/>
                      <w:bCs/>
                    </w:rPr>
                    <w:t>MADDE 1- </w:t>
                  </w:r>
                  <w:r w:rsidRPr="00F01A3F">
                    <w:t>(1) Bu Tebliğin amacı, yerli üretici </w:t>
                  </w:r>
                  <w:proofErr w:type="spellStart"/>
                  <w:r w:rsidRPr="00F01A3F">
                    <w:t>Petlas</w:t>
                  </w:r>
                  <w:proofErr w:type="spellEnd"/>
                  <w:r w:rsidRPr="00F01A3F">
                    <w:t> Lastik Sanayi A.Ş. firması tarafından yapılan ve </w:t>
                  </w:r>
                  <w:proofErr w:type="spellStart"/>
                  <w:r w:rsidRPr="00F01A3F">
                    <w:t>Billas</w:t>
                  </w:r>
                  <w:proofErr w:type="spellEnd"/>
                  <w:r w:rsidRPr="00F01A3F">
                    <w:t> Lastik Sanayi ve Ticaret A.Ş., Kocaeli Lastik Sanayi A.Ş., </w:t>
                  </w:r>
                  <w:proofErr w:type="spellStart"/>
                  <w:r w:rsidRPr="00F01A3F">
                    <w:t>Qualchem</w:t>
                  </w:r>
                  <w:proofErr w:type="spellEnd"/>
                  <w:r w:rsidRPr="00F01A3F">
                    <w:t> Dış Ticaret A.Ş. ve </w:t>
                  </w:r>
                  <w:proofErr w:type="spellStart"/>
                  <w:r w:rsidRPr="00F01A3F">
                    <w:t>Sumitomo</w:t>
                  </w:r>
                  <w:proofErr w:type="spellEnd"/>
                  <w:r w:rsidRPr="00F01A3F">
                    <w:t> </w:t>
                  </w:r>
                  <w:proofErr w:type="spellStart"/>
                  <w:r w:rsidRPr="00F01A3F">
                    <w:t>Rubber</w:t>
                  </w:r>
                  <w:proofErr w:type="spellEnd"/>
                  <w:r w:rsidRPr="00F01A3F">
                    <w:t> </w:t>
                  </w:r>
                  <w:proofErr w:type="spellStart"/>
                  <w:r w:rsidRPr="00F01A3F">
                    <w:t>Ako</w:t>
                  </w:r>
                  <w:proofErr w:type="spellEnd"/>
                  <w:r w:rsidRPr="00F01A3F">
                    <w:t> Lastik Sanayi ve Ticaret A.Ş. firmaları tarafından desteklenen başvuruya istinaden Çek Cumhuriyeti, Kore Cumhuriyeti, Macaristan, Sırbistan Cumhuriyeti ve Slovak Cumhuriyeti menşeli 4011.20.10.00.11, 4011.20.10.00.12 ve 4011.20.10.00.19 gümrük tarife istatistik pozisyonları altında sınıflandırılan “hafif ticari araç dış lastikleri”; Kore Cumhuriyeti ve Sırbistan Cumhuriyeti menşeli 4011.20.90.00.11, 4011.20.90.00.12 ve 4011.20.90.00.19 gümrük tarife istatistik pozisyonları altında sınıflandırılan “ağır vasıta dış lastikleri” ile Çek Cumhuriyeti ve Hindistan Cumhuriyeti menşeli 4011.70.00.00.00 gümrük tarife istatistik pozisyonu altında sınıflandırılan “zirai araç dış lastikleri” eşya tanımlı “muhtelif kauçuktan yeni dış lastikler” ürünlerine yönelik bir damping soruşturması açılması ve açılan soruşturmanın usul ve esaslarının belirlenmesidir.</w:t>
                  </w:r>
                </w:p>
                <w:p w14:paraId="3C0B8D94" w14:textId="77777777" w:rsidR="00F01A3F" w:rsidRPr="00F01A3F" w:rsidRDefault="00F01A3F" w:rsidP="00F01A3F">
                  <w:r w:rsidRPr="00F01A3F">
                    <w:rPr>
                      <w:b/>
                      <w:bCs/>
                    </w:rPr>
                    <w:t>Dayanak</w:t>
                  </w:r>
                </w:p>
                <w:p w14:paraId="22434C5F" w14:textId="77777777" w:rsidR="00F01A3F" w:rsidRPr="00F01A3F" w:rsidRDefault="00F01A3F" w:rsidP="00F01A3F">
                  <w:r w:rsidRPr="00F01A3F">
                    <w:rPr>
                      <w:b/>
                      <w:bCs/>
                    </w:rPr>
                    <w:t>MADDE 2- </w:t>
                  </w:r>
                  <w:r w:rsidRPr="00F01A3F">
                    <w:t xml:space="preserve">(1) Bu Tebliğ, 14/6/1989 tarihli ve 3577 sayılı İthalatta Haksız Rekabetin Önlenmesi Hakkında Kanun, 20/10/1999 tarihli ve 99/13482 sayılı Bakanlar Kurulu Kararı ile yürürlüğe konulan İthalatta Haksız Rekabetin Önlenmesi Hakkında Karar ve 30/10/1999 tarihli ve 23861 sayılı Resmî </w:t>
                  </w:r>
                  <w:proofErr w:type="spellStart"/>
                  <w:r w:rsidRPr="00F01A3F">
                    <w:t>Gazete’de</w:t>
                  </w:r>
                  <w:proofErr w:type="spellEnd"/>
                  <w:r w:rsidRPr="00F01A3F">
                    <w:t xml:space="preserve"> yayımlanan İthalatta Haksız Rekabetin Önlenmesi Hakkında Yönetmeliğe dayanılarak hazırlanmıştır.</w:t>
                  </w:r>
                </w:p>
                <w:p w14:paraId="0AD597AE" w14:textId="77777777" w:rsidR="00F01A3F" w:rsidRPr="00F01A3F" w:rsidRDefault="00F01A3F" w:rsidP="00F01A3F">
                  <w:r w:rsidRPr="00F01A3F">
                    <w:rPr>
                      <w:b/>
                      <w:bCs/>
                    </w:rPr>
                    <w:t>Tanımlar</w:t>
                  </w:r>
                </w:p>
                <w:p w14:paraId="3F28A668" w14:textId="77777777" w:rsidR="00F01A3F" w:rsidRPr="00F01A3F" w:rsidRDefault="00F01A3F" w:rsidP="00F01A3F">
                  <w:r w:rsidRPr="00F01A3F">
                    <w:rPr>
                      <w:b/>
                      <w:bCs/>
                    </w:rPr>
                    <w:t>MADDE 3- </w:t>
                  </w:r>
                  <w:r w:rsidRPr="00F01A3F">
                    <w:t>(1) Bu Tebliğde geçen;</w:t>
                  </w:r>
                </w:p>
                <w:p w14:paraId="1584C677" w14:textId="77777777" w:rsidR="00F01A3F" w:rsidRPr="00F01A3F" w:rsidRDefault="00F01A3F" w:rsidP="00F01A3F">
                  <w:r w:rsidRPr="00F01A3F">
                    <w:t>a) Bakanlık: Ticaret Bakanlığını,</w:t>
                  </w:r>
                </w:p>
                <w:p w14:paraId="21BE7F2D" w14:textId="77777777" w:rsidR="00F01A3F" w:rsidRPr="00F01A3F" w:rsidRDefault="00F01A3F" w:rsidP="00F01A3F">
                  <w:r w:rsidRPr="00F01A3F">
                    <w:t>b) CIF: Masraflar, sigorta ve navlun dâhil teslimi,</w:t>
                  </w:r>
                </w:p>
                <w:p w14:paraId="2421A0D0" w14:textId="77777777" w:rsidR="00F01A3F" w:rsidRPr="00F01A3F" w:rsidRDefault="00F01A3F" w:rsidP="00F01A3F">
                  <w:r w:rsidRPr="00F01A3F">
                    <w:t>c) </w:t>
                  </w:r>
                  <w:proofErr w:type="spellStart"/>
                  <w:r w:rsidRPr="00F01A3F">
                    <w:t>Çekya</w:t>
                  </w:r>
                  <w:proofErr w:type="spellEnd"/>
                  <w:r w:rsidRPr="00F01A3F">
                    <w:t>: Çek Cumhuriyeti’ni,</w:t>
                  </w:r>
                </w:p>
                <w:p w14:paraId="39231FA2" w14:textId="77777777" w:rsidR="00F01A3F" w:rsidRPr="00F01A3F" w:rsidRDefault="00F01A3F" w:rsidP="00F01A3F">
                  <w:proofErr w:type="gramStart"/>
                  <w:r w:rsidRPr="00F01A3F">
                    <w:t>ç</w:t>
                  </w:r>
                  <w:proofErr w:type="gramEnd"/>
                  <w:r w:rsidRPr="00F01A3F">
                    <w:t>) EBYS: Elektronik Belge Yönetim Sistemini,</w:t>
                  </w:r>
                </w:p>
                <w:p w14:paraId="13815C0D" w14:textId="77777777" w:rsidR="00F01A3F" w:rsidRPr="00F01A3F" w:rsidRDefault="00F01A3F" w:rsidP="00F01A3F">
                  <w:r w:rsidRPr="00F01A3F">
                    <w:t>d) Genel Müdürlük: Bakanlık İthalat Genel Müdürlüğünü,</w:t>
                  </w:r>
                </w:p>
                <w:p w14:paraId="64B51C29" w14:textId="77777777" w:rsidR="00F01A3F" w:rsidRPr="00F01A3F" w:rsidRDefault="00F01A3F" w:rsidP="00F01A3F">
                  <w:r w:rsidRPr="00F01A3F">
                    <w:t>e) GTİP: Gümrük tarife istatistik pozisyonunu,</w:t>
                  </w:r>
                </w:p>
                <w:p w14:paraId="13064F00" w14:textId="77777777" w:rsidR="00F01A3F" w:rsidRPr="00F01A3F" w:rsidRDefault="00F01A3F" w:rsidP="00F01A3F">
                  <w:r w:rsidRPr="00F01A3F">
                    <w:t>f) GTP: Gümrük tarife pozisyonunu,</w:t>
                  </w:r>
                </w:p>
                <w:p w14:paraId="7411815F" w14:textId="77777777" w:rsidR="00F01A3F" w:rsidRPr="00F01A3F" w:rsidRDefault="00F01A3F" w:rsidP="00F01A3F">
                  <w:r w:rsidRPr="00F01A3F">
                    <w:t>g) Güney Kore: Kore Cumhuriyeti’ni,</w:t>
                  </w:r>
                </w:p>
                <w:p w14:paraId="5E9D1990" w14:textId="77777777" w:rsidR="00F01A3F" w:rsidRPr="00F01A3F" w:rsidRDefault="00F01A3F" w:rsidP="00F01A3F">
                  <w:proofErr w:type="gramStart"/>
                  <w:r w:rsidRPr="00F01A3F">
                    <w:t>ğ</w:t>
                  </w:r>
                  <w:proofErr w:type="gramEnd"/>
                  <w:r w:rsidRPr="00F01A3F">
                    <w:t>) Hindistan: Hindistan Cumhuriyeti’ni,</w:t>
                  </w:r>
                </w:p>
                <w:p w14:paraId="4BEA937C" w14:textId="77777777" w:rsidR="00F01A3F" w:rsidRPr="00F01A3F" w:rsidRDefault="00F01A3F" w:rsidP="00F01A3F">
                  <w:r w:rsidRPr="00F01A3F">
                    <w:lastRenderedPageBreak/>
                    <w:t>h) Kanun: 14/6/1989 tarihli ve 3577 sayılı İthalatta Haksız Rekabetin Önlenmesi Hakkında Kanunu,</w:t>
                  </w:r>
                </w:p>
                <w:p w14:paraId="0128E4A7" w14:textId="77777777" w:rsidR="00F01A3F" w:rsidRPr="00F01A3F" w:rsidRDefault="00F01A3F" w:rsidP="00F01A3F">
                  <w:proofErr w:type="gramStart"/>
                  <w:r w:rsidRPr="00F01A3F">
                    <w:t>ı</w:t>
                  </w:r>
                  <w:proofErr w:type="gramEnd"/>
                  <w:r w:rsidRPr="00F01A3F">
                    <w:t>) Karar: 20/10/1999 tarihli ve 99/13482 sayılı Bakanlar Kurulu Kararı ile yürürlüğe konulan İthalatta Haksız Rekabetin Önlenmesi Hakkında Kararı,</w:t>
                  </w:r>
                </w:p>
                <w:p w14:paraId="18D87DAA" w14:textId="77777777" w:rsidR="00F01A3F" w:rsidRPr="00F01A3F" w:rsidRDefault="00F01A3F" w:rsidP="00F01A3F">
                  <w:r w:rsidRPr="00F01A3F">
                    <w:t>i) KEP: Kayıtlı elektronik posta adresini,</w:t>
                  </w:r>
                </w:p>
                <w:p w14:paraId="44598F91" w14:textId="77777777" w:rsidR="00F01A3F" w:rsidRPr="00F01A3F" w:rsidRDefault="00F01A3F" w:rsidP="00F01A3F">
                  <w:r w:rsidRPr="00F01A3F">
                    <w:t>j) Sırbistan: Sırbistan Cumhuriyeti’ni,</w:t>
                  </w:r>
                </w:p>
                <w:p w14:paraId="3AE5847B" w14:textId="77777777" w:rsidR="00F01A3F" w:rsidRPr="00F01A3F" w:rsidRDefault="00F01A3F" w:rsidP="00F01A3F">
                  <w:r w:rsidRPr="00F01A3F">
                    <w:t>k) Slovakya: Slovak Cumhuriyeti’ni,</w:t>
                  </w:r>
                </w:p>
                <w:p w14:paraId="121839E7" w14:textId="77777777" w:rsidR="00F01A3F" w:rsidRPr="00F01A3F" w:rsidRDefault="00F01A3F" w:rsidP="00F01A3F">
                  <w:r w:rsidRPr="00F01A3F">
                    <w:t>l) TGTC: İstatistik Pozisyonlarına Bölünmüş Türk Gümrük Tarife Cetvelini,</w:t>
                  </w:r>
                </w:p>
                <w:p w14:paraId="467216E1" w14:textId="77777777" w:rsidR="00F01A3F" w:rsidRPr="00F01A3F" w:rsidRDefault="00F01A3F" w:rsidP="00F01A3F">
                  <w:r w:rsidRPr="00F01A3F">
                    <w:t xml:space="preserve">m) Yönetmelik: 30/10/1999 tarihli ve 23861 sayılı Resmî </w:t>
                  </w:r>
                  <w:proofErr w:type="spellStart"/>
                  <w:r w:rsidRPr="00F01A3F">
                    <w:t>Gazete’de</w:t>
                  </w:r>
                  <w:proofErr w:type="spellEnd"/>
                  <w:r w:rsidRPr="00F01A3F">
                    <w:t xml:space="preserve"> yayımlanan İthalatta Haksız Rekabetin Önlenmesi Hakkında Yönetmeliği,</w:t>
                  </w:r>
                </w:p>
                <w:p w14:paraId="21E485EA" w14:textId="77777777" w:rsidR="00F01A3F" w:rsidRPr="00F01A3F" w:rsidRDefault="00F01A3F" w:rsidP="00F01A3F">
                  <w:proofErr w:type="gramStart"/>
                  <w:r w:rsidRPr="00F01A3F">
                    <w:t>ifade</w:t>
                  </w:r>
                  <w:proofErr w:type="gramEnd"/>
                  <w:r w:rsidRPr="00F01A3F">
                    <w:t> eder.</w:t>
                  </w:r>
                </w:p>
                <w:p w14:paraId="56F2231F" w14:textId="77777777" w:rsidR="00F01A3F" w:rsidRPr="00F01A3F" w:rsidRDefault="00F01A3F" w:rsidP="00F01A3F">
                  <w:r w:rsidRPr="00F01A3F">
                    <w:rPr>
                      <w:b/>
                      <w:bCs/>
                    </w:rPr>
                    <w:t>Soruşturma konusu ürün</w:t>
                  </w:r>
                </w:p>
                <w:p w14:paraId="223A302F" w14:textId="77777777" w:rsidR="00F01A3F" w:rsidRPr="00F01A3F" w:rsidRDefault="00F01A3F" w:rsidP="00F01A3F">
                  <w:r w:rsidRPr="00F01A3F">
                    <w:rPr>
                      <w:b/>
                      <w:bCs/>
                    </w:rPr>
                    <w:t>MADDE 4- </w:t>
                  </w:r>
                  <w:r w:rsidRPr="00F01A3F">
                    <w:t>(1) Soruşturma konusu ürün, 4011.20.10.00.11, 4011.20.10.00.12 ve 4011.20.10.00.19 </w:t>
                  </w:r>
                  <w:proofErr w:type="spellStart"/>
                  <w:r w:rsidRPr="00F01A3F">
                    <w:t>GTİP’leri</w:t>
                  </w:r>
                  <w:proofErr w:type="spellEnd"/>
                  <w:r w:rsidRPr="00F01A3F">
                    <w:t> altında sınıflandırılan “otobüs, kamyon için kauçuktan dış lastik; yeni, yükleme endeksi=&lt;121” eşya tanımlı “hafif ticari araç dış lastikleri”; 4011.20.90.00.11, 4011.20.90.00.12 ve 4011.20.90.00.19 </w:t>
                  </w:r>
                  <w:proofErr w:type="spellStart"/>
                  <w:r w:rsidRPr="00F01A3F">
                    <w:t>GTİP’leri</w:t>
                  </w:r>
                  <w:proofErr w:type="spellEnd"/>
                  <w:r w:rsidRPr="00F01A3F">
                    <w:t> altında sınıflandırılan “kamyon, otobüs için kauçuktan dış lastik; yeni, yükleme endeksi &gt;121” eşya tanımlı “ağır vasıta dış lastikleri” ile 4011.70.00.00.00 </w:t>
                  </w:r>
                  <w:proofErr w:type="spellStart"/>
                  <w:r w:rsidRPr="00F01A3F">
                    <w:t>GTİP’i</w:t>
                  </w:r>
                  <w:proofErr w:type="spellEnd"/>
                  <w:r w:rsidRPr="00F01A3F">
                    <w:t> altında sınıflandırılan “kauçuktan yeni dış lastikler; tarım ve orman taşıtları ve makinelerinde kullanılan” eşya tanımlı “zirai araç dış </w:t>
                  </w:r>
                  <w:proofErr w:type="spellStart"/>
                  <w:r w:rsidRPr="00F01A3F">
                    <w:t>lastikleri”dir</w:t>
                  </w:r>
                  <w:proofErr w:type="spellEnd"/>
                  <w:r w:rsidRPr="00F01A3F">
                    <w:t>.</w:t>
                  </w:r>
                </w:p>
                <w:p w14:paraId="2D573F56" w14:textId="77777777" w:rsidR="00F01A3F" w:rsidRPr="00F01A3F" w:rsidRDefault="00F01A3F" w:rsidP="00F01A3F">
                  <w:r w:rsidRPr="00F01A3F">
                    <w:t>(2) Bahse konu </w:t>
                  </w:r>
                  <w:proofErr w:type="spellStart"/>
                  <w:r w:rsidRPr="00F01A3F">
                    <w:t>GTİP’ler</w:t>
                  </w:r>
                  <w:proofErr w:type="spellEnd"/>
                  <w:r w:rsidRPr="00F01A3F">
                    <w:t> yalnızca bilgi amaçlı verilmiş olup bağlayıcı mahiyette değildir.</w:t>
                  </w:r>
                </w:p>
                <w:p w14:paraId="07258BEE" w14:textId="77777777" w:rsidR="00F01A3F" w:rsidRPr="00F01A3F" w:rsidRDefault="00F01A3F" w:rsidP="00F01A3F">
                  <w:r w:rsidRPr="00F01A3F">
                    <w:t>(3) Ürünün </w:t>
                  </w:r>
                  <w:proofErr w:type="spellStart"/>
                  <w:r w:rsidRPr="00F01A3F">
                    <w:t>TGTC’de</w:t>
                  </w:r>
                  <w:proofErr w:type="spellEnd"/>
                  <w:r w:rsidRPr="00F01A3F">
                    <w:t> yer alan tarife pozisyonunda ve/veya eşya tanımında yapılacak değişiklikler bu Tebliğ hükümlerinin uygulanmasına engel teşkil etmez.</w:t>
                  </w:r>
                </w:p>
                <w:p w14:paraId="4675DA17" w14:textId="77777777" w:rsidR="00F01A3F" w:rsidRPr="00F01A3F" w:rsidRDefault="00F01A3F" w:rsidP="00F01A3F">
                  <w:r w:rsidRPr="00F01A3F">
                    <w:rPr>
                      <w:b/>
                      <w:bCs/>
                    </w:rPr>
                    <w:t>Başvurunun temsil niteliği</w:t>
                  </w:r>
                </w:p>
                <w:p w14:paraId="323C79C6" w14:textId="77777777" w:rsidR="00F01A3F" w:rsidRPr="00F01A3F" w:rsidRDefault="00F01A3F" w:rsidP="00F01A3F">
                  <w:r w:rsidRPr="00F01A3F">
                    <w:rPr>
                      <w:b/>
                      <w:bCs/>
                    </w:rPr>
                    <w:t>MADDE 5- </w:t>
                  </w:r>
                  <w:r w:rsidRPr="00F01A3F">
                    <w:t>(1) Başvuru aşamasında sunulan delillerden, Yönetmeliğin 18 inci maddesi çerçevesinde yerli üretim dalını temsil niteliğini haiz olduğu anlaşılan yerli üretici </w:t>
                  </w:r>
                  <w:proofErr w:type="spellStart"/>
                  <w:r w:rsidRPr="00F01A3F">
                    <w:t>Petlas</w:t>
                  </w:r>
                  <w:proofErr w:type="spellEnd"/>
                  <w:r w:rsidRPr="00F01A3F">
                    <w:t xml:space="preserve"> Lastik Sanayi A.Ş. tarafından yapılan başvurunun Yönetmeliğin </w:t>
                  </w:r>
                  <w:proofErr w:type="gramStart"/>
                  <w:r w:rsidRPr="00F01A3F">
                    <w:t>20 </w:t>
                  </w:r>
                  <w:proofErr w:type="spellStart"/>
                  <w:r w:rsidRPr="00F01A3F">
                    <w:t>nci</w:t>
                  </w:r>
                  <w:proofErr w:type="spellEnd"/>
                  <w:proofErr w:type="gramEnd"/>
                  <w:r w:rsidRPr="00F01A3F">
                    <w:t> maddesi uyarınca yerli üretim dalı adına yapıldığı anlaşılmıştır. Bu kapsamda, söz konusu firma bu Tebliğin ilgili bölümlerinde “yerli üretim dalı” olarak anılacaktır.</w:t>
                  </w:r>
                </w:p>
                <w:p w14:paraId="55187D77" w14:textId="77777777" w:rsidR="00F01A3F" w:rsidRPr="00F01A3F" w:rsidRDefault="00F01A3F" w:rsidP="00F01A3F">
                  <w:r w:rsidRPr="00F01A3F">
                    <w:rPr>
                      <w:b/>
                      <w:bCs/>
                    </w:rPr>
                    <w:t>Damping iddiası</w:t>
                  </w:r>
                </w:p>
                <w:p w14:paraId="27922496" w14:textId="77777777" w:rsidR="00F01A3F" w:rsidRPr="00F01A3F" w:rsidRDefault="00F01A3F" w:rsidP="00F01A3F">
                  <w:r w:rsidRPr="00F01A3F">
                    <w:rPr>
                      <w:b/>
                      <w:bCs/>
                    </w:rPr>
                    <w:t>MADDE 6- </w:t>
                  </w:r>
                  <w:r w:rsidRPr="00F01A3F">
                    <w:t>(1) Normal değerin tespitinde başvuru konusu ülkelerin geçerli iç piyasa fiyatlarına ulaşılamamıştır. Bu kapsamda, Yönetmeliğin 5 inci maddesi hükümleri çerçevesinde, normal değerin tespiti için ilk yöntem olarak oluşturulmuş normal değer kullanılmıştır. Bu çerçevede, başvuru konusu ürün için normal değer Türkiye’de benzer malın birim imalat maliyetine satış, genel ve idari giderler ile finansman gideri ve makul bir kârın eklenmesiyle oluşturulmuş ve söz konusu değerin fabrika çıkış aşamasında olduğu kabul edilmiştir.</w:t>
                  </w:r>
                </w:p>
                <w:p w14:paraId="2C92469D" w14:textId="77777777" w:rsidR="00F01A3F" w:rsidRPr="00F01A3F" w:rsidRDefault="00F01A3F" w:rsidP="00F01A3F">
                  <w:r w:rsidRPr="00F01A3F">
                    <w:t>(2) İhraç fiyatının tespitinde, ilk yöntemde, inceleme dönemi olan 1/1/2024-31/12/2024 dönemi için Bakanlık istatistik veri tabanında yer alan ithalat beyannameleri bazında veriler kullanılarak başvuru konusu ürünün başvuru konusu ülkelerden ithalatında oluşan CIF ağırlıklı ortalama ihraç fiyatı dikkate alınmıştır. Söz konusu ihraç fiyatından, Bakanlık istatistik veri tabanından elde edilen harici navlun ve sigorta bedelleri düşülerek anılan değerin fabrika çıkış aşamasında olduğu kabul edilmiştir.</w:t>
                  </w:r>
                </w:p>
                <w:p w14:paraId="02ABD0C0" w14:textId="77777777" w:rsidR="00F01A3F" w:rsidRPr="00F01A3F" w:rsidRDefault="00F01A3F" w:rsidP="00F01A3F">
                  <w:r w:rsidRPr="00F01A3F">
                    <w:t>(3) İkinci bir yöntem olarak, Yönetmeliğin 5 inci maddesi hükümleri çerçevesinde, normal değerin tespiti için başvuru konusu ürünün uygun bir üçüncü ülkeye ihracatında temsil niteliği taşıyan karşılaştırılabilir ihraç fiyatı normal değer olarak kabul edilmiştir. Uluslararası Ticaret Merkezi verilerinin kullanıldığı bu hesaplama yönteminde, söz konusu üçüncü ülke, başvuru konusu ürünü üretme kabiliyetleri ve başvuru konusu ülkelerin ihracatındaki yerleri dikkate alınarak belirlenmiştir. Bu yöntemle belirlenen normal değerlerin fabrika çıkış aşamasında olduğu kabul edilmiştir.</w:t>
                  </w:r>
                </w:p>
                <w:p w14:paraId="147415D1" w14:textId="77777777" w:rsidR="00F01A3F" w:rsidRPr="00F01A3F" w:rsidRDefault="00F01A3F" w:rsidP="00F01A3F">
                  <w:r w:rsidRPr="00F01A3F">
                    <w:t>(4) İkinci yöntemle yapılan hesaplamada ihraç fiyatının tespitinde ise, inceleme dönemi olan 1/1/2024-31/12/2024 dönemi için Uluslararası Ticaret Merkezi verileri çerçevesinde başvuru konusu ürünün başvuru konusu ülkelerden Türkiye’ye ağırlıklı ortalama ihraç fiyatları dikkate alınmıştır.</w:t>
                  </w:r>
                </w:p>
                <w:p w14:paraId="4475B205" w14:textId="77777777" w:rsidR="00F01A3F" w:rsidRPr="00F01A3F" w:rsidRDefault="00F01A3F" w:rsidP="00F01A3F">
                  <w:r w:rsidRPr="00F01A3F">
                    <w:t>(5) Bu maddede açıklandığı şekilde tespit edilen normal değerler ile Türkiye’ye ihraç fiyatları mümkün olduğu ölçüde aynı ticari aşamada, diğer bir ifadeyle, fabrika çıkış aşamasında karşılaştırılmış olup soruşturma konusu ürün için hesaplanan damping marjlarının Yönetmeliğin 28 inci maddesinde zikredilen ihmal edilebilir oranın üzerinde olduğu tespit edilmiştir.</w:t>
                  </w:r>
                </w:p>
                <w:p w14:paraId="723B320B" w14:textId="77777777" w:rsidR="00F01A3F" w:rsidRPr="00F01A3F" w:rsidRDefault="00F01A3F" w:rsidP="00F01A3F">
                  <w:r w:rsidRPr="00F01A3F">
                    <w:rPr>
                      <w:b/>
                      <w:bCs/>
                    </w:rPr>
                    <w:t>Zarar ve nedensellik iddiası</w:t>
                  </w:r>
                </w:p>
                <w:p w14:paraId="63FBD418" w14:textId="77777777" w:rsidR="00F01A3F" w:rsidRPr="00F01A3F" w:rsidRDefault="00F01A3F" w:rsidP="00F01A3F">
                  <w:r w:rsidRPr="00F01A3F">
                    <w:rPr>
                      <w:b/>
                      <w:bCs/>
                    </w:rPr>
                    <w:t>MADDE 7- </w:t>
                  </w:r>
                  <w:r w:rsidRPr="00F01A3F">
                    <w:t xml:space="preserve">(1) Yönetmeliğin </w:t>
                  </w:r>
                  <w:proofErr w:type="gramStart"/>
                  <w:r w:rsidRPr="00F01A3F">
                    <w:t>17 </w:t>
                  </w:r>
                  <w:proofErr w:type="spellStart"/>
                  <w:r w:rsidRPr="00F01A3F">
                    <w:t>nci</w:t>
                  </w:r>
                  <w:proofErr w:type="spellEnd"/>
                  <w:proofErr w:type="gramEnd"/>
                  <w:r w:rsidRPr="00F01A3F">
                    <w:t> maddesi çerçevesinde zarar iddiası 1/1/2022-31/12/2024 dönemi için incelenmiştir.</w:t>
                  </w:r>
                </w:p>
                <w:p w14:paraId="4F047F8C" w14:textId="77777777" w:rsidR="00F01A3F" w:rsidRPr="00F01A3F" w:rsidRDefault="00F01A3F" w:rsidP="00F01A3F">
                  <w:r w:rsidRPr="00F01A3F">
                    <w:t>(2) Hafif ticari araç dış lastikleri ürün grubunda, </w:t>
                  </w:r>
                  <w:proofErr w:type="spellStart"/>
                  <w:r w:rsidRPr="00F01A3F">
                    <w:t>Çekya</w:t>
                  </w:r>
                  <w:proofErr w:type="spellEnd"/>
                  <w:r w:rsidRPr="00F01A3F">
                    <w:t>, Güney Kore, Macaristan, Sırbistan ve Slovakya menşeli başvuru konusu ürün ithalatı 1/1/2022-31/12/2024 döneminde mutlak ve nispi olarak artış göstermiştir.</w:t>
                  </w:r>
                </w:p>
                <w:p w14:paraId="7A9E0E19" w14:textId="77777777" w:rsidR="00F01A3F" w:rsidRPr="00F01A3F" w:rsidRDefault="00F01A3F" w:rsidP="00F01A3F">
                  <w:r w:rsidRPr="00F01A3F">
                    <w:t>(3) Ağır vasıta dış lastikleri ürün grubunda, Güney Kore ve Sırbistan menşeli başvuru konusu ürün ithalatı, 1/1/2022-31/12/2024 döneminde mutlak ve nispi olarak artış göstermiştir.</w:t>
                  </w:r>
                </w:p>
                <w:p w14:paraId="1C8FD909" w14:textId="77777777" w:rsidR="00F01A3F" w:rsidRPr="00F01A3F" w:rsidRDefault="00F01A3F" w:rsidP="00F01A3F">
                  <w:r w:rsidRPr="00F01A3F">
                    <w:t>(4) Zirai araç dış lastikleri ürün grubunda, 1/1/2022-31/12/2024 döneminde, Hindistan menşeli başvuru konusu ürün ithalatı, mutlak ve nispi olarak, </w:t>
                  </w:r>
                  <w:proofErr w:type="spellStart"/>
                  <w:r w:rsidRPr="00F01A3F">
                    <w:t>Çekya</w:t>
                  </w:r>
                  <w:proofErr w:type="spellEnd"/>
                  <w:r w:rsidRPr="00F01A3F">
                    <w:t> menşeli başvuru konusu ürün ithalatı ise mutlak olarak artış göstermiştir.</w:t>
                  </w:r>
                </w:p>
                <w:p w14:paraId="5585DCCD" w14:textId="77777777" w:rsidR="00F01A3F" w:rsidRPr="00F01A3F" w:rsidRDefault="00F01A3F" w:rsidP="00F01A3F">
                  <w:r w:rsidRPr="00F01A3F">
                    <w:t>(5) Hafif ticari araç dış lastikleri ürün grubunda, </w:t>
                  </w:r>
                  <w:proofErr w:type="spellStart"/>
                  <w:r w:rsidRPr="00F01A3F">
                    <w:t>Çekya</w:t>
                  </w:r>
                  <w:proofErr w:type="spellEnd"/>
                  <w:r w:rsidRPr="00F01A3F">
                    <w:t>, Macaristan ve Sırbistan menşeli ithalatın, 1/1/2022-31/12/2024 döneminde yerli üretim dalının yurt içi birim satış fiyatlarını kırdığı ve baskıladığı; Güney Kore menşeli ithalatın, 1/1/2024-31/12/2024 döneminde yerli üretim dalının yurt içi birim satış fiyatlarını kırdığı ve baskıladığı; 1/1/2022-31/12/2023 döneminde fiyatlarını kırmadığı ve baskılamadığı; Slovakya menşeli ithalatın, 1/1/2022-31/12/2024 döneminde yerli üretim dalının yurt içi birim satış fiyatlarını kırmadığı ve baskılamadığı görülmüştür.</w:t>
                  </w:r>
                </w:p>
                <w:p w14:paraId="0B747699" w14:textId="77777777" w:rsidR="00F01A3F" w:rsidRPr="00F01A3F" w:rsidRDefault="00F01A3F" w:rsidP="00F01A3F">
                  <w:r w:rsidRPr="00F01A3F">
                    <w:t>(6) Ağır vasıta dış lastikleri ürün grubunda, Sırbistan menşeli ithalatın, 1/1/2023-31/12/2024 döneminde yerli üretim dalının yurt içi birim satış fiyatlarını kırdığı ve baskıladığı; Güney Kore menşeli ithalatın, 1/1/2022-31/12/2024 döneminde yerli üretim dalının yurt içi birim satış fiyatlarını kırmadığı ve baskılamadığı görülmüştür.</w:t>
                  </w:r>
                </w:p>
                <w:p w14:paraId="0DF6820F" w14:textId="77777777" w:rsidR="00F01A3F" w:rsidRPr="00F01A3F" w:rsidRDefault="00F01A3F" w:rsidP="00F01A3F">
                  <w:r w:rsidRPr="00F01A3F">
                    <w:t>(7) Zirai araç dış lastikleri ürün grubunda, Hindistan menşeli ithalatın, 1/1/2022-31/12/2023 döneminde yerli üretim dalının yurt içi birim satış fiyatlarını kırmadığı ve baskılamadığı, 1/1/2023-31/12/2024 döneminde ise yerli üretim dalının yurt içi birim satış fiyatlarını kırmadığı, ancak baskıladığı; </w:t>
                  </w:r>
                  <w:proofErr w:type="spellStart"/>
                  <w:r w:rsidRPr="00F01A3F">
                    <w:t>Çekya</w:t>
                  </w:r>
                  <w:proofErr w:type="spellEnd"/>
                  <w:r w:rsidRPr="00F01A3F">
                    <w:t> menşeli ithalatın, 1/1/2022-31/12/2024 döneminde yerli üretim dalının yurt içi birim satış fiyatlarını kırmadığı ve baskılamadığı görülmüştür.</w:t>
                  </w:r>
                </w:p>
                <w:p w14:paraId="44E82EF3" w14:textId="77777777" w:rsidR="00F01A3F" w:rsidRPr="00F01A3F" w:rsidRDefault="00F01A3F" w:rsidP="00F01A3F">
                  <w:r w:rsidRPr="00F01A3F">
                    <w:t>(8) Hafif ticari araç dış lastikleri ürün grubunda, yerli üretim dalı tarafından zarara ilişkin olarak sunulan bilgi, belge ve deliller kullanılarak yapılan değerlendirmede, yerli üretim dalının üretim, yurt içi satış miktarı, stok miktarı ve stok değeri, istihdam ve pazar payı gibi temel ekonomik göstergelerinde 1/1/2022-31/12/2024 döneminde bozulmalar yaşandığı tespit edilmiştir.</w:t>
                  </w:r>
                </w:p>
                <w:p w14:paraId="1A5DEE48" w14:textId="77777777" w:rsidR="00F01A3F" w:rsidRPr="00F01A3F" w:rsidRDefault="00F01A3F" w:rsidP="00F01A3F">
                  <w:r w:rsidRPr="00F01A3F">
                    <w:t>(9) Ağır vasıta dış lastikleri ürün grubunda, yerli üretim dalı tarafından zarara ilişkin olarak sunulan bilgi, belge ve deliller kullanılarak yapılan değerlendirmede, yerli üretim dalının üretim, yurt içi satış miktarı, stok miktarı, ürün nakit akışı, istihdam ve pazar payı gibi temel ekonomik göstergelerinde 1/1/2022-31/12/2024 döneminde bozulmalar yaşandığı tespit edilmiştir.</w:t>
                  </w:r>
                </w:p>
                <w:p w14:paraId="208AF702" w14:textId="77777777" w:rsidR="00F01A3F" w:rsidRPr="00F01A3F" w:rsidRDefault="00F01A3F" w:rsidP="00F01A3F">
                  <w:r w:rsidRPr="00F01A3F">
                    <w:t>(10) Zirai araç dış lastikleri ürün grubunda, yerli üretim dalı tarafından zarara ilişkin olarak sunulan bilgi, belge ve deliller kullanılarak yapılan değerlendirmede, yerli üretim dalının üretim, stok miktarı, istihdam, ürün nakit akışı ve pazar payı gibi temel ekonomik göstergelerinde 1/1/2022-31/12/2024 döneminde bozulmalar yaşandığı tespit edilmiştir.</w:t>
                  </w:r>
                </w:p>
                <w:p w14:paraId="0E32B9B5" w14:textId="77777777" w:rsidR="00F01A3F" w:rsidRPr="00F01A3F" w:rsidRDefault="00F01A3F" w:rsidP="00F01A3F">
                  <w:r w:rsidRPr="00F01A3F">
                    <w:t>(11) Başvuru aşamasında sunulan deliller ve ithalata ilişkin Bakanlık istatistik veri tabanında yer alan veriler esas alınarak yapılan tespitler ışığında, dampingli olduğu iddia edilen hafif ticari araç dış lastikleri ürün grubunda, </w:t>
                  </w:r>
                  <w:proofErr w:type="spellStart"/>
                  <w:r w:rsidRPr="00F01A3F">
                    <w:t>Çekya</w:t>
                  </w:r>
                  <w:proofErr w:type="spellEnd"/>
                  <w:r w:rsidRPr="00F01A3F">
                    <w:t>, Güney Kore, Macaristan, Sırbistan ve Slovakya menşeli, ağır vasıta dış lastikleri ürün grubunda, Güney Kore ve Sırbistan menşeli ve zirai araç dış lastikleri ürün grubunda, Hindistan ve </w:t>
                  </w:r>
                  <w:proofErr w:type="spellStart"/>
                  <w:r w:rsidRPr="00F01A3F">
                    <w:t>Çekya</w:t>
                  </w:r>
                  <w:proofErr w:type="spellEnd"/>
                  <w:r w:rsidRPr="00F01A3F">
                    <w:t> menşeli ithalatın yerli üretim dalının ekonomik göstergelerinde maddi zarara yol açtığı değerlendirilmiştir.</w:t>
                  </w:r>
                </w:p>
                <w:p w14:paraId="4B0B0E26" w14:textId="77777777" w:rsidR="00F01A3F" w:rsidRPr="00F01A3F" w:rsidRDefault="00F01A3F" w:rsidP="00F01A3F">
                  <w:r w:rsidRPr="00F01A3F">
                    <w:rPr>
                      <w:b/>
                      <w:bCs/>
                    </w:rPr>
                    <w:t>Karar ve işlemler</w:t>
                  </w:r>
                </w:p>
                <w:p w14:paraId="022AA6E5" w14:textId="77777777" w:rsidR="00F01A3F" w:rsidRPr="00F01A3F" w:rsidRDefault="00F01A3F" w:rsidP="00F01A3F">
                  <w:r w:rsidRPr="00F01A3F">
                    <w:rPr>
                      <w:b/>
                      <w:bCs/>
                    </w:rPr>
                    <w:t>MADDE 8- </w:t>
                  </w:r>
                  <w:r w:rsidRPr="00F01A3F">
                    <w:t>(1) Yapılan inceleme sonucunda, damping soruşturması açılabilmesi için yeterli bilgi, belge ve delillerin bulunduğu anlaşıldığından, İthalatta Haksız Rekabeti Değerlendirme Kurulunun kararı ile hafif ticari araç dış lastikleri ürün grubunda, </w:t>
                  </w:r>
                  <w:proofErr w:type="spellStart"/>
                  <w:r w:rsidRPr="00F01A3F">
                    <w:t>Çekya</w:t>
                  </w:r>
                  <w:proofErr w:type="spellEnd"/>
                  <w:r w:rsidRPr="00F01A3F">
                    <w:t>, Güney Kore, Macaristan, Sırbistan ve Slovakya menşeli, ağır vasıta dış lastikleri ürün grubunda, Güney Kore ve Sırbistan menşeli ve zirai araç dış lastikleri ürün grubunda, Hindistan ve </w:t>
                  </w:r>
                  <w:proofErr w:type="spellStart"/>
                  <w:r w:rsidRPr="00F01A3F">
                    <w:t>Çekya</w:t>
                  </w:r>
                  <w:proofErr w:type="spellEnd"/>
                  <w:r w:rsidRPr="00F01A3F">
                    <w:t> menşeli başvuru konusu ürün gruplarına yönelik olarak Yönetmeliğin 20 </w:t>
                  </w:r>
                  <w:proofErr w:type="spellStart"/>
                  <w:r w:rsidRPr="00F01A3F">
                    <w:t>nci</w:t>
                  </w:r>
                  <w:proofErr w:type="spellEnd"/>
                  <w:r w:rsidRPr="00F01A3F">
                    <w:t> maddesi çerçevesinde bir damping soruşturması açılmasına karar verilmiştir.</w:t>
                  </w:r>
                </w:p>
                <w:p w14:paraId="39513F90" w14:textId="77777777" w:rsidR="00F01A3F" w:rsidRPr="00F01A3F" w:rsidRDefault="00F01A3F" w:rsidP="00F01A3F">
                  <w:r w:rsidRPr="00F01A3F">
                    <w:rPr>
                      <w:b/>
                      <w:bCs/>
                    </w:rPr>
                    <w:t>İlgili taraflara soruşturma açılışının bildirilmesi</w:t>
                  </w:r>
                </w:p>
                <w:p w14:paraId="7D003CC5" w14:textId="77777777" w:rsidR="00F01A3F" w:rsidRPr="00F01A3F" w:rsidRDefault="00F01A3F" w:rsidP="00F01A3F">
                  <w:r w:rsidRPr="00F01A3F">
                    <w:rPr>
                      <w:b/>
                      <w:bCs/>
                    </w:rPr>
                    <w:t>MADDE 9- </w:t>
                  </w:r>
                  <w:r w:rsidRPr="00F01A3F">
                    <w:t xml:space="preserve">(1) Yönetmeliğin </w:t>
                  </w:r>
                  <w:proofErr w:type="gramStart"/>
                  <w:r w:rsidRPr="00F01A3F">
                    <w:t>23 üncü</w:t>
                  </w:r>
                  <w:proofErr w:type="gramEnd"/>
                  <w:r w:rsidRPr="00F01A3F">
                    <w:t xml:space="preserve"> maddesi uyarınca, soruşturma konusu malın ihracatçısı, yabancı üreticisi, ithalatçısı, üye çoğunluğu bunlardan oluşan meslek kuruluşları, ihracatçı ülke hükümeti, benzer malın Türkiye’deki üreticisi, üye çoğunluğu benzer malın Türkiye’deki üreticilerinden oluşan meslek kuruluşları ilgili taraflar olarak kabul edilir. Ancak, 11 inci maddede belirtilen süreler içinde soru formlarını cevaplamak veya görüşlerini sunmak suretiyle kendilerini yetkili merciye bildirenler soruşturmada ilgili taraf olarak dikkate alınır.</w:t>
                  </w:r>
                </w:p>
                <w:p w14:paraId="0D285106" w14:textId="77777777" w:rsidR="00F01A3F" w:rsidRPr="00F01A3F" w:rsidRDefault="00F01A3F" w:rsidP="00F01A3F">
                  <w:r w:rsidRPr="00F01A3F">
                    <w:t>(2) Soruşturma açılmasını müteakip, soruşturma konusu ülkelerde yerleşik bilinen üretici/ihracatçılara, soruşturma konusu ülkelerin Ankara’daki büyükelçilikleri ile başvuruda belirtilen ve Bakanlıkça tespit edilen soruşturma konusu ürünün bilinen ithalatçılarına soruşturmanın açılışına ilişkin bildirimde bulunulur.</w:t>
                  </w:r>
                </w:p>
                <w:p w14:paraId="5EB9059B" w14:textId="77777777" w:rsidR="00F01A3F" w:rsidRPr="00F01A3F" w:rsidRDefault="00F01A3F" w:rsidP="00F01A3F">
                  <w:r w:rsidRPr="00F01A3F">
                    <w:t>(3) Bildirimde, soruşturma açılış tebliği, başvurunun gizli olmayan özeti ve soru formlarına erişim hususunda bilgiye yer verilir.</w:t>
                  </w:r>
                </w:p>
                <w:p w14:paraId="7B18EE83" w14:textId="77777777" w:rsidR="00F01A3F" w:rsidRPr="00F01A3F" w:rsidRDefault="00F01A3F" w:rsidP="00F01A3F">
                  <w:r w:rsidRPr="00F01A3F">
                    <w:t>(4) Bildirim gönderilemeyen veya kendilerine bildirim ulaşmayan diğer ilgili taraflar, soruşturma ile ilgili bilgilere Bakanlığın “https://www.ticaret.gov.tr/ithalat” uzantılı internet sitesinden sırasıyla “Ticaret Politikası Savunma Araçları”, “Damping ve Sübvansiyon”, “Soruşturmalar” sekmelerini takip ederek soruşturmaya dair ilgili başlıktan erişebilir.</w:t>
                  </w:r>
                </w:p>
                <w:p w14:paraId="06830451" w14:textId="77777777" w:rsidR="00F01A3F" w:rsidRPr="00F01A3F" w:rsidRDefault="00F01A3F" w:rsidP="00F01A3F">
                  <w:r w:rsidRPr="00F01A3F">
                    <w:rPr>
                      <w:b/>
                      <w:bCs/>
                    </w:rPr>
                    <w:t>Yetkili merci, ilgili tarafların görüş ve cevaplarını sunmaları</w:t>
                  </w:r>
                </w:p>
                <w:p w14:paraId="6B493A1E" w14:textId="77777777" w:rsidR="00F01A3F" w:rsidRPr="00F01A3F" w:rsidRDefault="00F01A3F" w:rsidP="00F01A3F">
                  <w:r w:rsidRPr="00F01A3F">
                    <w:rPr>
                      <w:b/>
                      <w:bCs/>
                    </w:rPr>
                    <w:t>MADDE 10- </w:t>
                  </w:r>
                  <w:r w:rsidRPr="00F01A3F">
                    <w:t>(1) Soruşturma, aşağıda iletişim bilgileri yer alan Genel Müdürlük tarafından yürütülür.</w:t>
                  </w:r>
                </w:p>
                <w:p w14:paraId="73476E8E" w14:textId="77777777" w:rsidR="00F01A3F" w:rsidRPr="00F01A3F" w:rsidRDefault="00F01A3F" w:rsidP="00F01A3F">
                  <w:r w:rsidRPr="00F01A3F">
                    <w:t>T. C. Ticaret Bakanlığı</w:t>
                  </w:r>
                </w:p>
                <w:p w14:paraId="16693FE4" w14:textId="77777777" w:rsidR="00F01A3F" w:rsidRPr="00F01A3F" w:rsidRDefault="00F01A3F" w:rsidP="00F01A3F">
                  <w:r w:rsidRPr="00F01A3F">
                    <w:t>İthalat Genel Müdürlüğü</w:t>
                  </w:r>
                </w:p>
                <w:p w14:paraId="5EC4BC82" w14:textId="77777777" w:rsidR="00F01A3F" w:rsidRPr="00F01A3F" w:rsidRDefault="00F01A3F" w:rsidP="00F01A3F">
                  <w:r w:rsidRPr="00F01A3F">
                    <w:t>Damping ve Sübvansiyon Dairesi</w:t>
                  </w:r>
                </w:p>
                <w:p w14:paraId="3C80A749" w14:textId="77777777" w:rsidR="00F01A3F" w:rsidRPr="00F01A3F" w:rsidRDefault="00F01A3F" w:rsidP="00F01A3F">
                  <w:r w:rsidRPr="00F01A3F">
                    <w:t>Adres: Söğütözü Mah. Nizami </w:t>
                  </w:r>
                  <w:proofErr w:type="spellStart"/>
                  <w:r w:rsidRPr="00F01A3F">
                    <w:t>Gencevi</w:t>
                  </w:r>
                  <w:proofErr w:type="spellEnd"/>
                  <w:r w:rsidRPr="00F01A3F">
                    <w:t> Caddesi No:63/1 06530 Çankaya/ANKARA</w:t>
                  </w:r>
                </w:p>
                <w:p w14:paraId="2E9E701D" w14:textId="77777777" w:rsidR="00F01A3F" w:rsidRPr="00F01A3F" w:rsidRDefault="00F01A3F" w:rsidP="00F01A3F">
                  <w:r w:rsidRPr="00F01A3F">
                    <w:t>Tel: +90 312 204 75 00</w:t>
                  </w:r>
                </w:p>
                <w:p w14:paraId="0F3FE526" w14:textId="77777777" w:rsidR="00F01A3F" w:rsidRPr="00F01A3F" w:rsidRDefault="00F01A3F" w:rsidP="00F01A3F">
                  <w:r w:rsidRPr="00F01A3F">
                    <w:t>(2) Soruşturmada “Türkiye’de yerleşik firma, kurum ve kuruluşlar”, soru formlarına cevapları ile resmî görüşlerini kendilerine ait KEP adreslerinden Bakanlığın aşağıda yer alan KEP adresine gönderir.</w:t>
                  </w:r>
                </w:p>
                <w:p w14:paraId="2146A9C4" w14:textId="77777777" w:rsidR="00F01A3F" w:rsidRPr="00F01A3F" w:rsidRDefault="00F01A3F" w:rsidP="00F01A3F">
                  <w:r w:rsidRPr="00F01A3F">
                    <w:t>KEP adresi: </w:t>
                  </w:r>
                  <w:r w:rsidRPr="00F01A3F">
                    <w:rPr>
                      <w:u w:val="single"/>
                    </w:rPr>
                    <w:t>ticaretbakanligi@hs01.kep.tr</w:t>
                  </w:r>
                </w:p>
                <w:p w14:paraId="2EEB7834" w14:textId="77777777" w:rsidR="00F01A3F" w:rsidRPr="00F01A3F" w:rsidRDefault="00F01A3F" w:rsidP="00F01A3F">
                  <w:r w:rsidRPr="00F01A3F">
                    <w:t>(3) Soruşturmada “yurt dışında yerleşik firma, kurum ve kuruluşlar”, soru formlarına cevapları ile resmî görüşlerini yazılı olarak, soru formu cevaplarına ve resmî görüşlerine ilişkin ekleri ise yalnızca elektronik ortamda (CD/USB ile) Bakanlığın posta adresine gönderir. Soru formu cevapları, resmî görüşler ve bunların ekleri ayrıca aşağıda yer alan e-posta adresine gönderilir.</w:t>
                  </w:r>
                </w:p>
                <w:p w14:paraId="1A6F3EFB" w14:textId="77777777" w:rsidR="00F01A3F" w:rsidRPr="00F01A3F" w:rsidRDefault="00F01A3F" w:rsidP="00F01A3F">
                  <w:r w:rsidRPr="00F01A3F">
                    <w:t>EBYS e-posta adresi: </w:t>
                  </w:r>
                  <w:r w:rsidRPr="00F01A3F">
                    <w:rPr>
                      <w:u w:val="single"/>
                    </w:rPr>
                    <w:t>ithebys@ticaret.gov.tr</w:t>
                  </w:r>
                </w:p>
                <w:p w14:paraId="38CFDFBA" w14:textId="77777777" w:rsidR="00F01A3F" w:rsidRPr="00F01A3F" w:rsidRDefault="00F01A3F" w:rsidP="00F01A3F">
                  <w:r w:rsidRPr="00F01A3F">
                    <w:t>(4) Soruşturma kapsamında yurt dışında yerleşik firma, kurum ya da kuruluşların soru formu cevaplarını bir yasal temsilci vasıtasıyla Bakanlığa iletmeleri durumunda, ilgili firma, kurum ya da kuruluşların anılan yasal temsilci adına resmî bir vekâletname (yetki belgesi) düzenlemesi gerekmektedir. Düzenlenecek vekâletnamenin soru formu cevaplarını ileten yurt dışında yerleşik firma, kurum ya da kuruluşun imza yetkilisi tarafından imzalanmış olması; Türkçe veya İngilizce tercümesinin sunulması, Yabancı Resmî Belgelerin Tasdiki Mecburiyetinin Kaldırılması Sözleşmesine uygun olarak “</w:t>
                  </w:r>
                  <w:proofErr w:type="spellStart"/>
                  <w:r w:rsidRPr="00F01A3F">
                    <w:t>apostil</w:t>
                  </w:r>
                  <w:proofErr w:type="spellEnd"/>
                  <w:r w:rsidRPr="00F01A3F">
                    <w:t> tasdik şerhi” taşıması, </w:t>
                  </w:r>
                  <w:proofErr w:type="spellStart"/>
                  <w:r w:rsidRPr="00F01A3F">
                    <w:t>apostil</w:t>
                  </w:r>
                  <w:proofErr w:type="spellEnd"/>
                  <w:r w:rsidRPr="00F01A3F">
                    <w:t> tasdik şerhi bulunmaması halinde o ülkedeki Türk Konsolosluğunun tasdikini içermesi gerekmektedir.</w:t>
                  </w:r>
                </w:p>
                <w:p w14:paraId="19C6B36C" w14:textId="77777777" w:rsidR="00F01A3F" w:rsidRPr="00F01A3F" w:rsidRDefault="00F01A3F" w:rsidP="00F01A3F">
                  <w:r w:rsidRPr="00F01A3F">
                    <w:t>(5) Soruşturmaya ilişkin yazılı ve sözlü iletişim Türkçe yapılır. Soru formuna yanıtlar hariç olmak üzere, Türkçe dışında bir dilde sunulan hiçbir bilgi, belge, görüş ve talep dikkate alınmaz.</w:t>
                  </w:r>
                </w:p>
                <w:p w14:paraId="76DDE955" w14:textId="77777777" w:rsidR="00F01A3F" w:rsidRPr="00F01A3F" w:rsidRDefault="00F01A3F" w:rsidP="00F01A3F">
                  <w:r w:rsidRPr="00F01A3F">
                    <w:t>(6) İlgili taraflarca soru formuna verilen cevaplar, soruşturmayla ilgili sunulan diğer bilgi, belge, görüş ve destekleyici deliller aksi belirtilmedikçe yazılı olarak sunulur. Yazılı sunumlarda ilgili tarafların isim ve </w:t>
                  </w:r>
                  <w:proofErr w:type="spellStart"/>
                  <w:r w:rsidRPr="00F01A3F">
                    <w:t>ünvanı</w:t>
                  </w:r>
                  <w:proofErr w:type="spellEnd"/>
                  <w:r w:rsidRPr="00F01A3F">
                    <w:t>, adres bilgileri, elektronik posta adresi, telefon numaraları belirtilir. “Türkiye’de yerleşik firma, kurum ve kuruluşlardan ilgili taraf olmak isteyenler” tarafından yazılı sunumlarda kendilerine ait KEP adresleri de belirtilir.</w:t>
                  </w:r>
                </w:p>
                <w:p w14:paraId="3A4D5D70" w14:textId="77777777" w:rsidR="00F01A3F" w:rsidRPr="00F01A3F" w:rsidRDefault="00F01A3F" w:rsidP="00F01A3F">
                  <w:r w:rsidRPr="00F01A3F">
                    <w:t xml:space="preserve">(7) İlgili taraflar, soru formunda istenilen bilgiler haricinde soruşturmayla ilgili olduğu düşünülen diğer bilgi, belge ve görüşlerini, destekleyici deliller </w:t>
                  </w:r>
                  <w:proofErr w:type="gramStart"/>
                  <w:r w:rsidRPr="00F01A3F">
                    <w:t>ile birlikte</w:t>
                  </w:r>
                  <w:proofErr w:type="gramEnd"/>
                  <w:r w:rsidRPr="00F01A3F">
                    <w:t xml:space="preserve"> Genel Müdürlüğe yazılı olarak 11 inci maddenin ikinci fıkrasında belirtilen süre içerisinde sunabilir.</w:t>
                  </w:r>
                </w:p>
                <w:p w14:paraId="45065965" w14:textId="77777777" w:rsidR="00F01A3F" w:rsidRPr="00F01A3F" w:rsidRDefault="00F01A3F" w:rsidP="00F01A3F">
                  <w:r w:rsidRPr="00F01A3F">
                    <w:t xml:space="preserve">(8) Soruşturma süresince Yönetmeliğin </w:t>
                  </w:r>
                  <w:proofErr w:type="gramStart"/>
                  <w:r w:rsidRPr="00F01A3F">
                    <w:t>22 </w:t>
                  </w:r>
                  <w:proofErr w:type="spellStart"/>
                  <w:r w:rsidRPr="00F01A3F">
                    <w:t>nci</w:t>
                  </w:r>
                  <w:proofErr w:type="spellEnd"/>
                  <w:proofErr w:type="gramEnd"/>
                  <w:r w:rsidRPr="00F01A3F">
                    <w:t> maddesinin ikinci fıkrası çerçevesinde gizlilik kaydıyla verilen her türlü bilgi, belge ve görüşün gizli olmayan bir özeti sunulur. Gizli olmayan özet, esas bilginin makul ölçüde anlaşılmasına olanak sağlayacak ayrıntıda olur. İlgili taraflar, istisnai hallerde bu bilgilerin özetlenemeyecek nitelikte olduklarını belirtebilir. Bu gibi istisnai durumlarda, bilgilerin özetlenemeyecek nitelikte olmasının nedenlerinin belirtilmesi gerekir.</w:t>
                  </w:r>
                </w:p>
                <w:p w14:paraId="1FA04B04" w14:textId="77777777" w:rsidR="00F01A3F" w:rsidRPr="00F01A3F" w:rsidRDefault="00F01A3F" w:rsidP="00F01A3F">
                  <w:r w:rsidRPr="00F01A3F">
                    <w:rPr>
                      <w:b/>
                      <w:bCs/>
                    </w:rPr>
                    <w:t>Süreler</w:t>
                  </w:r>
                </w:p>
                <w:p w14:paraId="636A8B54" w14:textId="77777777" w:rsidR="00F01A3F" w:rsidRPr="00F01A3F" w:rsidRDefault="00F01A3F" w:rsidP="00F01A3F">
                  <w:r w:rsidRPr="00F01A3F">
                    <w:rPr>
                      <w:b/>
                      <w:bCs/>
                    </w:rPr>
                    <w:t>MADDE 11- </w:t>
                  </w:r>
                  <w:r w:rsidRPr="00F01A3F">
                    <w:t>(1) 9 uncu maddenin ikinci fıkrasında belirtilen bildirimin gönderildiği bütün ilgili taraflar için soru formunu cevaplama süresi, soruşturmanın açılışına ilişkin bildirimin gönderildiği tarihten itibaren posta süresi dâhil 37 gündür.</w:t>
                  </w:r>
                </w:p>
                <w:p w14:paraId="096FFC2C" w14:textId="77777777" w:rsidR="00F01A3F" w:rsidRPr="00F01A3F" w:rsidRDefault="00F01A3F" w:rsidP="00F01A3F">
                  <w:r w:rsidRPr="00F01A3F">
                    <w:t>(2) 9 uncu maddenin dördüncü fıkrasında yer alan bildirimin gönderilemediği ilgili taraflar soru formuna ilişkin cevaplarını ve soruşturma ile ilgili görüşlerini bu Tebliğin yayımı tarihinden itibaren başlayacak 37 günlük süre içerisinde sunar.</w:t>
                  </w:r>
                </w:p>
                <w:p w14:paraId="2829D19E" w14:textId="77777777" w:rsidR="00F01A3F" w:rsidRPr="00F01A3F" w:rsidRDefault="00F01A3F" w:rsidP="00F01A3F">
                  <w:r w:rsidRPr="00F01A3F">
                    <w:t>(3) Soruşturmanın sonucundan etkilenebileceklerini iddia eden ve 9 uncu maddenin birinci fıkrası dışında kalan diğer yerli ve yabancı taraflar görüşlerini bu Tebliğin yayımı tarihinden itibaren soruşturmanın akışını etkilemeyecek şekilde soruşturma süreci içerisinde sunabilir.</w:t>
                  </w:r>
                </w:p>
                <w:p w14:paraId="675B65A0" w14:textId="77777777" w:rsidR="00F01A3F" w:rsidRPr="00F01A3F" w:rsidRDefault="00F01A3F" w:rsidP="00F01A3F">
                  <w:r w:rsidRPr="00F01A3F">
                    <w:rPr>
                      <w:b/>
                      <w:bCs/>
                    </w:rPr>
                    <w:t>İş birliğine gelinmemesi</w:t>
                  </w:r>
                </w:p>
                <w:p w14:paraId="3856930D" w14:textId="77777777" w:rsidR="00F01A3F" w:rsidRPr="00F01A3F" w:rsidRDefault="00F01A3F" w:rsidP="00F01A3F">
                  <w:r w:rsidRPr="00F01A3F">
                    <w:rPr>
                      <w:b/>
                      <w:bCs/>
                    </w:rPr>
                    <w:t>MADDE 12- </w:t>
                  </w:r>
                  <w:r w:rsidRPr="00F01A3F">
                    <w:t xml:space="preserve">(1) Yönetmeliğin </w:t>
                  </w:r>
                  <w:proofErr w:type="gramStart"/>
                  <w:r w:rsidRPr="00F01A3F">
                    <w:t>26 </w:t>
                  </w:r>
                  <w:proofErr w:type="spellStart"/>
                  <w:r w:rsidRPr="00F01A3F">
                    <w:t>ncı</w:t>
                  </w:r>
                  <w:proofErr w:type="spellEnd"/>
                  <w:proofErr w:type="gramEnd"/>
                  <w:r w:rsidRPr="00F01A3F">
                    <w:t> maddesi hükmü çerçevesinde, ilgili taraflardan birinin verilen süreler dâhilinde ve istenilen biçimde gerekli bilgi ve belgeleri sağlamaması ya da bu bilgi ve belgelere erişimi reddetmesi veya soruşturmayı engellediğinin anlaşılması veya yanlış ya da yanıltıcı bilgi vermesi hallerinde söz konusu taraf iş birliğine gelmemiş sayılır. Bu gibi hallerde soruşturma kapsamındaki geçici veya nihai belirlemeler, olumlu ya da olumsuz şekilde, mevcut verilere göre yapılabilir.</w:t>
                  </w:r>
                </w:p>
                <w:p w14:paraId="6C543116" w14:textId="77777777" w:rsidR="00F01A3F" w:rsidRPr="00F01A3F" w:rsidRDefault="00F01A3F" w:rsidP="00F01A3F">
                  <w:r w:rsidRPr="00F01A3F">
                    <w:t>(2) İlgili tarafların iş birliğine gelmemesi veya kısmen iş birliğine gelmesi halinde bahse konu taraf için soruşturmanın sonucu iş birliğine gelinmesine nazaran daha az avantajlı olabilir.</w:t>
                  </w:r>
                </w:p>
                <w:p w14:paraId="74EC1140" w14:textId="77777777" w:rsidR="00F01A3F" w:rsidRPr="00F01A3F" w:rsidRDefault="00F01A3F" w:rsidP="00F01A3F">
                  <w:r w:rsidRPr="00F01A3F">
                    <w:rPr>
                      <w:b/>
                      <w:bCs/>
                    </w:rPr>
                    <w:t>Geçici önlem alınması ve önlemlerin geriye dönük uygulanması</w:t>
                  </w:r>
                </w:p>
                <w:p w14:paraId="1F5EB29F" w14:textId="77777777" w:rsidR="00F01A3F" w:rsidRPr="00F01A3F" w:rsidRDefault="00F01A3F" w:rsidP="00F01A3F">
                  <w:r w:rsidRPr="00F01A3F">
                    <w:rPr>
                      <w:b/>
                      <w:bCs/>
                    </w:rPr>
                    <w:t>MADDE 13- </w:t>
                  </w:r>
                  <w:r w:rsidRPr="00F01A3F">
                    <w:t>(1) Kanun ve Kararın ilgili hükümleri uyarınca, soruşturma süresince geçici önlem uygulanması kararlaştırılabilir ve kesin önlem geriye dönük olarak uygulanabilir.</w:t>
                  </w:r>
                </w:p>
                <w:p w14:paraId="0EF746AC" w14:textId="77777777" w:rsidR="00F01A3F" w:rsidRPr="00F01A3F" w:rsidRDefault="00F01A3F" w:rsidP="00F01A3F">
                  <w:r w:rsidRPr="00F01A3F">
                    <w:rPr>
                      <w:b/>
                      <w:bCs/>
                    </w:rPr>
                    <w:t>Soruşturmanın başlangıç tarihi</w:t>
                  </w:r>
                </w:p>
                <w:p w14:paraId="3F5EDDD8" w14:textId="77777777" w:rsidR="00F01A3F" w:rsidRPr="00F01A3F" w:rsidRDefault="00F01A3F" w:rsidP="00F01A3F">
                  <w:r w:rsidRPr="00F01A3F">
                    <w:rPr>
                      <w:b/>
                      <w:bCs/>
                    </w:rPr>
                    <w:t>MADDE 14-</w:t>
                  </w:r>
                  <w:r w:rsidRPr="00F01A3F">
                    <w:t> (1) Soruşturma, bu Tebliğin yayımı tarihinde başlamış kabul edilir.</w:t>
                  </w:r>
                </w:p>
                <w:p w14:paraId="35718B80" w14:textId="77777777" w:rsidR="00F01A3F" w:rsidRPr="00F01A3F" w:rsidRDefault="00F01A3F" w:rsidP="00F01A3F">
                  <w:r w:rsidRPr="00F01A3F">
                    <w:rPr>
                      <w:b/>
                      <w:bCs/>
                    </w:rPr>
                    <w:t>Yürürlük</w:t>
                  </w:r>
                </w:p>
                <w:p w14:paraId="600173C8" w14:textId="77777777" w:rsidR="00F01A3F" w:rsidRPr="00F01A3F" w:rsidRDefault="00F01A3F" w:rsidP="00F01A3F">
                  <w:r w:rsidRPr="00F01A3F">
                    <w:rPr>
                      <w:b/>
                      <w:bCs/>
                    </w:rPr>
                    <w:t>MADDE 15- </w:t>
                  </w:r>
                  <w:r w:rsidRPr="00F01A3F">
                    <w:t>(1) Bu Tebliğ yayımı tarihinde yürürlüğe girer.</w:t>
                  </w:r>
                </w:p>
                <w:p w14:paraId="32C3A808" w14:textId="77777777" w:rsidR="00F01A3F" w:rsidRPr="00F01A3F" w:rsidRDefault="00F01A3F" w:rsidP="00F01A3F">
                  <w:r w:rsidRPr="00F01A3F">
                    <w:rPr>
                      <w:b/>
                      <w:bCs/>
                    </w:rPr>
                    <w:t>Yürütme</w:t>
                  </w:r>
                </w:p>
                <w:p w14:paraId="171215B9" w14:textId="77777777" w:rsidR="00F01A3F" w:rsidRPr="00F01A3F" w:rsidRDefault="00F01A3F" w:rsidP="00F01A3F">
                  <w:r w:rsidRPr="00F01A3F">
                    <w:rPr>
                      <w:b/>
                      <w:bCs/>
                    </w:rPr>
                    <w:t>MADDE 16- </w:t>
                  </w:r>
                  <w:r w:rsidRPr="00F01A3F">
                    <w:t>(1) Bu Tebliğ hükümlerini Ticaret Bakanı yürütür.</w:t>
                  </w:r>
                </w:p>
                <w:p w14:paraId="2BD81361" w14:textId="77777777" w:rsidR="00F01A3F" w:rsidRPr="00F01A3F" w:rsidRDefault="00F01A3F" w:rsidP="00F01A3F">
                  <w:r w:rsidRPr="00F01A3F">
                    <w:rPr>
                      <w:b/>
                      <w:bCs/>
                    </w:rPr>
                    <w:t> </w:t>
                  </w:r>
                </w:p>
              </w:tc>
            </w:tr>
          </w:tbl>
          <w:p w14:paraId="2209EDF8" w14:textId="77777777" w:rsidR="00F01A3F" w:rsidRPr="00F01A3F" w:rsidRDefault="00F01A3F" w:rsidP="00F01A3F"/>
        </w:tc>
      </w:tr>
    </w:tbl>
    <w:p w14:paraId="4658D39D" w14:textId="77777777" w:rsidR="00F01A3F" w:rsidRPr="00F01A3F" w:rsidRDefault="00F01A3F" w:rsidP="00F01A3F">
      <w:r w:rsidRPr="00F01A3F">
        <w:lastRenderedPageBreak/>
        <w:t> </w:t>
      </w:r>
    </w:p>
    <w:p w14:paraId="5C5A5F01" w14:textId="77777777" w:rsidR="009A391C" w:rsidRDefault="009A391C"/>
    <w:sectPr w:rsidR="009A39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851"/>
    <w:rsid w:val="000B4572"/>
    <w:rsid w:val="00321E8D"/>
    <w:rsid w:val="009A391C"/>
    <w:rsid w:val="00F01A3F"/>
    <w:rsid w:val="00FB7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A9BE6-900D-465C-B438-AAE5F15A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B785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FB785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FB7851"/>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FB7851"/>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FB7851"/>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FB785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B785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B785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B785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7851"/>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FB7851"/>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FB7851"/>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FB7851"/>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FB7851"/>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FB785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B785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B785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B7851"/>
    <w:rPr>
      <w:rFonts w:eastAsiaTheme="majorEastAsia" w:cstheme="majorBidi"/>
      <w:color w:val="272727" w:themeColor="text1" w:themeTint="D8"/>
    </w:rPr>
  </w:style>
  <w:style w:type="paragraph" w:styleId="KonuBal">
    <w:name w:val="Title"/>
    <w:basedOn w:val="Normal"/>
    <w:next w:val="Normal"/>
    <w:link w:val="KonuBalChar"/>
    <w:uiPriority w:val="10"/>
    <w:qFormat/>
    <w:rsid w:val="00FB78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B785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B785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B785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B785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B7851"/>
    <w:rPr>
      <w:i/>
      <w:iCs/>
      <w:color w:val="404040" w:themeColor="text1" w:themeTint="BF"/>
    </w:rPr>
  </w:style>
  <w:style w:type="paragraph" w:styleId="ListeParagraf">
    <w:name w:val="List Paragraph"/>
    <w:basedOn w:val="Normal"/>
    <w:uiPriority w:val="34"/>
    <w:qFormat/>
    <w:rsid w:val="00FB7851"/>
    <w:pPr>
      <w:ind w:left="720"/>
      <w:contextualSpacing/>
    </w:pPr>
  </w:style>
  <w:style w:type="character" w:styleId="GlVurgulama">
    <w:name w:val="Intense Emphasis"/>
    <w:basedOn w:val="VarsaylanParagrafYazTipi"/>
    <w:uiPriority w:val="21"/>
    <w:qFormat/>
    <w:rsid w:val="00FB7851"/>
    <w:rPr>
      <w:i/>
      <w:iCs/>
      <w:color w:val="2E74B5" w:themeColor="accent1" w:themeShade="BF"/>
    </w:rPr>
  </w:style>
  <w:style w:type="paragraph" w:styleId="GlAlnt">
    <w:name w:val="Intense Quote"/>
    <w:basedOn w:val="Normal"/>
    <w:next w:val="Normal"/>
    <w:link w:val="GlAlntChar"/>
    <w:uiPriority w:val="30"/>
    <w:qFormat/>
    <w:rsid w:val="00FB785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FB7851"/>
    <w:rPr>
      <w:i/>
      <w:iCs/>
      <w:color w:val="2E74B5" w:themeColor="accent1" w:themeShade="BF"/>
    </w:rPr>
  </w:style>
  <w:style w:type="character" w:styleId="GlBavuru">
    <w:name w:val="Intense Reference"/>
    <w:basedOn w:val="VarsaylanParagrafYazTipi"/>
    <w:uiPriority w:val="32"/>
    <w:qFormat/>
    <w:rsid w:val="00FB785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2569</Words>
  <Characters>14645</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2025-10-10T05:08:00Z</dcterms:created>
  <dcterms:modified xsi:type="dcterms:W3CDTF">2025-10-10T05:08:00Z</dcterms:modified>
</cp:coreProperties>
</file>