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750F42" w:rsidRPr="00750F42" w:rsidTr="00750F42">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50F42" w:rsidRPr="00750F42" w:rsidRDefault="00750F42" w:rsidP="00750F42">
            <w:pPr>
              <w:spacing w:after="0" w:line="240" w:lineRule="atLeast"/>
              <w:rPr>
                <w:rFonts w:ascii="Times New Roman" w:eastAsia="Times New Roman" w:hAnsi="Times New Roman" w:cs="Times New Roman"/>
                <w:sz w:val="24"/>
                <w:szCs w:val="24"/>
                <w:lang w:eastAsia="tr-TR"/>
              </w:rPr>
            </w:pPr>
            <w:bookmarkStart w:id="0" w:name="_GoBack"/>
            <w:bookmarkEnd w:id="0"/>
            <w:r w:rsidRPr="00750F42">
              <w:rPr>
                <w:rFonts w:ascii="Arial" w:eastAsia="Times New Roman" w:hAnsi="Arial" w:cs="Arial"/>
                <w:sz w:val="16"/>
                <w:szCs w:val="16"/>
                <w:lang w:eastAsia="tr-TR"/>
              </w:rPr>
              <w:t>6 Eylül 2017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50F42" w:rsidRPr="00750F42" w:rsidRDefault="00750F42" w:rsidP="00750F42">
            <w:pPr>
              <w:spacing w:after="0" w:line="240" w:lineRule="atLeast"/>
              <w:jc w:val="center"/>
              <w:rPr>
                <w:rFonts w:ascii="Times New Roman" w:eastAsia="Times New Roman" w:hAnsi="Times New Roman" w:cs="Times New Roman"/>
                <w:sz w:val="24"/>
                <w:szCs w:val="24"/>
                <w:lang w:eastAsia="tr-TR"/>
              </w:rPr>
            </w:pPr>
            <w:r w:rsidRPr="00750F42">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50F42" w:rsidRPr="00750F42" w:rsidRDefault="00750F42" w:rsidP="00750F42">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50F42">
              <w:rPr>
                <w:rFonts w:ascii="Arial" w:eastAsia="Times New Roman" w:hAnsi="Arial" w:cs="Arial"/>
                <w:sz w:val="16"/>
                <w:szCs w:val="16"/>
                <w:lang w:eastAsia="tr-TR"/>
              </w:rPr>
              <w:t>Sayı : 30182</w:t>
            </w:r>
            <w:proofErr w:type="gramEnd"/>
          </w:p>
        </w:tc>
      </w:tr>
      <w:tr w:rsidR="00750F42" w:rsidRPr="00750F42" w:rsidTr="00750F42">
        <w:trPr>
          <w:trHeight w:val="480"/>
          <w:jc w:val="center"/>
        </w:trPr>
        <w:tc>
          <w:tcPr>
            <w:tcW w:w="8789" w:type="dxa"/>
            <w:gridSpan w:val="3"/>
            <w:tcMar>
              <w:top w:w="0" w:type="dxa"/>
              <w:left w:w="108" w:type="dxa"/>
              <w:bottom w:w="0" w:type="dxa"/>
              <w:right w:w="108" w:type="dxa"/>
            </w:tcMar>
            <w:vAlign w:val="center"/>
            <w:hideMark/>
          </w:tcPr>
          <w:p w:rsidR="00750F42" w:rsidRPr="00750F42" w:rsidRDefault="00750F42" w:rsidP="00750F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0F42">
              <w:rPr>
                <w:rFonts w:ascii="Arial" w:eastAsia="Times New Roman" w:hAnsi="Arial" w:cs="Arial"/>
                <w:b/>
                <w:bCs/>
                <w:color w:val="000080"/>
                <w:sz w:val="18"/>
                <w:szCs w:val="18"/>
                <w:lang w:eastAsia="tr-TR"/>
              </w:rPr>
              <w:t>TEBLİĞ</w:t>
            </w:r>
          </w:p>
        </w:tc>
      </w:tr>
      <w:tr w:rsidR="00750F42" w:rsidRPr="00750F42" w:rsidTr="00750F42">
        <w:trPr>
          <w:trHeight w:val="480"/>
          <w:jc w:val="center"/>
        </w:trPr>
        <w:tc>
          <w:tcPr>
            <w:tcW w:w="8789" w:type="dxa"/>
            <w:gridSpan w:val="3"/>
            <w:tcMar>
              <w:top w:w="0" w:type="dxa"/>
              <w:left w:w="108" w:type="dxa"/>
              <w:bottom w:w="0" w:type="dxa"/>
              <w:right w:w="108" w:type="dxa"/>
            </w:tcMar>
            <w:vAlign w:val="center"/>
            <w:hideMark/>
          </w:tcPr>
          <w:p w:rsidR="00750F42" w:rsidRPr="00750F42" w:rsidRDefault="00750F42" w:rsidP="00750F42">
            <w:pPr>
              <w:spacing w:after="0" w:line="240" w:lineRule="atLeast"/>
              <w:ind w:firstLine="566"/>
              <w:jc w:val="both"/>
              <w:rPr>
                <w:rFonts w:ascii="Times New Roman" w:eastAsia="Times New Roman" w:hAnsi="Times New Roman" w:cs="Times New Roman"/>
                <w:u w:val="single"/>
                <w:lang w:eastAsia="tr-TR"/>
              </w:rPr>
            </w:pPr>
            <w:r w:rsidRPr="00750F42">
              <w:rPr>
                <w:rFonts w:ascii="Times New Roman" w:eastAsia="Times New Roman" w:hAnsi="Times New Roman" w:cs="Times New Roman"/>
                <w:sz w:val="18"/>
                <w:szCs w:val="18"/>
                <w:u w:val="single"/>
                <w:lang w:eastAsia="tr-TR"/>
              </w:rPr>
              <w:t>Ekonomi Bakanlığından:</w:t>
            </w:r>
          </w:p>
          <w:p w:rsidR="00750F42" w:rsidRPr="00750F42" w:rsidRDefault="00750F42" w:rsidP="00750F42">
            <w:pPr>
              <w:spacing w:after="0" w:line="240" w:lineRule="atLeast"/>
              <w:jc w:val="center"/>
              <w:rPr>
                <w:rFonts w:ascii="Times New Roman" w:eastAsia="Times New Roman" w:hAnsi="Times New Roman" w:cs="Times New Roman"/>
                <w:b/>
                <w:bCs/>
                <w:sz w:val="19"/>
                <w:szCs w:val="19"/>
                <w:lang w:eastAsia="tr-TR"/>
              </w:rPr>
            </w:pPr>
            <w:r w:rsidRPr="00750F42">
              <w:rPr>
                <w:rFonts w:ascii="Times New Roman" w:eastAsia="Times New Roman" w:hAnsi="Times New Roman" w:cs="Times New Roman"/>
                <w:b/>
                <w:bCs/>
                <w:sz w:val="18"/>
                <w:szCs w:val="18"/>
                <w:lang w:eastAsia="tr-TR"/>
              </w:rPr>
              <w:t>İTHALATTA GÖZETİM UYGULANMASINA İLİŞKİN TEBLİĞ</w:t>
            </w:r>
          </w:p>
          <w:p w:rsidR="00750F42" w:rsidRPr="00750F42" w:rsidRDefault="00750F42" w:rsidP="00750F42">
            <w:pPr>
              <w:spacing w:after="0" w:line="240" w:lineRule="atLeast"/>
              <w:jc w:val="center"/>
              <w:rPr>
                <w:rFonts w:ascii="Times New Roman" w:eastAsia="Times New Roman" w:hAnsi="Times New Roman" w:cs="Times New Roman"/>
                <w:b/>
                <w:bCs/>
                <w:sz w:val="19"/>
                <w:szCs w:val="19"/>
                <w:lang w:eastAsia="tr-TR"/>
              </w:rPr>
            </w:pPr>
            <w:r w:rsidRPr="00750F42">
              <w:rPr>
                <w:rFonts w:ascii="Times New Roman" w:eastAsia="Times New Roman" w:hAnsi="Times New Roman" w:cs="Times New Roman"/>
                <w:b/>
                <w:bCs/>
                <w:sz w:val="18"/>
                <w:szCs w:val="18"/>
                <w:lang w:eastAsia="tr-TR"/>
              </w:rPr>
              <w:t>(TEBLİĞ NO: 2017/12)</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Kapsam</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MADDE 1 –</w:t>
            </w:r>
            <w:r w:rsidRPr="00750F42">
              <w:rPr>
                <w:rFonts w:ascii="Times New Roman" w:eastAsia="Times New Roman" w:hAnsi="Times New Roman" w:cs="Times New Roman"/>
                <w:sz w:val="18"/>
                <w:szCs w:val="18"/>
                <w:lang w:eastAsia="tr-TR"/>
              </w:rPr>
              <w:t> (1) Bu Tebliğ, aşağıda gümrük tarife istatistik pozisyonu (GTİP) ve tanımı belirtilen eşyanın (yalnız karşısında gösterilen gümrük kıymetinin altında birim kıymetleri haiz olanlarının) ithalatında ileriye yönelik olarak yürütülecek olan gözetim uygulamasına ilişkin usul ve esasları içerir.</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1877"/>
              <w:gridCol w:w="4500"/>
              <w:gridCol w:w="2128"/>
            </w:tblGrid>
            <w:tr w:rsidR="00750F42" w:rsidRPr="00750F42">
              <w:trPr>
                <w:jc w:val="center"/>
              </w:trPr>
              <w:tc>
                <w:tcPr>
                  <w:tcW w:w="187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50F42" w:rsidRPr="00750F42" w:rsidRDefault="00750F42" w:rsidP="00750F42">
                  <w:pPr>
                    <w:spacing w:after="0" w:line="240" w:lineRule="auto"/>
                    <w:jc w:val="center"/>
                    <w:rPr>
                      <w:rFonts w:ascii="Times New Roman" w:eastAsia="Times New Roman" w:hAnsi="Times New Roman" w:cs="Times New Roman"/>
                      <w:sz w:val="24"/>
                      <w:szCs w:val="24"/>
                      <w:lang w:eastAsia="tr-TR"/>
                    </w:rPr>
                  </w:pPr>
                  <w:r w:rsidRPr="00750F42">
                    <w:rPr>
                      <w:rFonts w:ascii="Times New Roman" w:eastAsia="Times New Roman" w:hAnsi="Times New Roman" w:cs="Times New Roman"/>
                      <w:b/>
                      <w:bCs/>
                      <w:sz w:val="18"/>
                      <w:szCs w:val="18"/>
                      <w:lang w:eastAsia="tr-TR"/>
                    </w:rPr>
                    <w:t>GTİP</w:t>
                  </w:r>
                </w:p>
              </w:tc>
              <w:tc>
                <w:tcPr>
                  <w:tcW w:w="45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0F42" w:rsidRPr="00750F42" w:rsidRDefault="00750F42" w:rsidP="00750F42">
                  <w:pPr>
                    <w:spacing w:after="0" w:line="240" w:lineRule="auto"/>
                    <w:jc w:val="center"/>
                    <w:rPr>
                      <w:rFonts w:ascii="Times New Roman" w:eastAsia="Times New Roman" w:hAnsi="Times New Roman" w:cs="Times New Roman"/>
                      <w:sz w:val="24"/>
                      <w:szCs w:val="24"/>
                      <w:lang w:eastAsia="tr-TR"/>
                    </w:rPr>
                  </w:pPr>
                  <w:r w:rsidRPr="00750F42">
                    <w:rPr>
                      <w:rFonts w:ascii="Times New Roman" w:eastAsia="Times New Roman" w:hAnsi="Times New Roman" w:cs="Times New Roman"/>
                      <w:b/>
                      <w:bCs/>
                      <w:sz w:val="18"/>
                      <w:szCs w:val="18"/>
                      <w:lang w:eastAsia="tr-TR"/>
                    </w:rPr>
                    <w:t>Eşyanın Tanımı</w:t>
                  </w:r>
                </w:p>
              </w:tc>
              <w:tc>
                <w:tcPr>
                  <w:tcW w:w="212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0F42" w:rsidRPr="00750F42" w:rsidRDefault="00750F42" w:rsidP="00750F42">
                  <w:pPr>
                    <w:spacing w:after="0" w:line="240" w:lineRule="auto"/>
                    <w:jc w:val="center"/>
                    <w:rPr>
                      <w:rFonts w:ascii="Times New Roman" w:eastAsia="Times New Roman" w:hAnsi="Times New Roman" w:cs="Times New Roman"/>
                      <w:sz w:val="24"/>
                      <w:szCs w:val="24"/>
                      <w:lang w:eastAsia="tr-TR"/>
                    </w:rPr>
                  </w:pPr>
                  <w:r w:rsidRPr="00750F42">
                    <w:rPr>
                      <w:rFonts w:ascii="Times New Roman" w:eastAsia="Times New Roman" w:hAnsi="Times New Roman" w:cs="Times New Roman"/>
                      <w:b/>
                      <w:bCs/>
                      <w:sz w:val="18"/>
                      <w:szCs w:val="18"/>
                      <w:lang w:eastAsia="tr-TR"/>
                    </w:rPr>
                    <w:t>Birim Gümrük Kıymeti</w:t>
                  </w:r>
                </w:p>
                <w:p w:rsidR="00750F42" w:rsidRPr="00750F42" w:rsidRDefault="00750F42" w:rsidP="00750F42">
                  <w:pPr>
                    <w:spacing w:after="0" w:line="240" w:lineRule="auto"/>
                    <w:jc w:val="center"/>
                    <w:rPr>
                      <w:rFonts w:ascii="Times New Roman" w:eastAsia="Times New Roman" w:hAnsi="Times New Roman" w:cs="Times New Roman"/>
                      <w:sz w:val="24"/>
                      <w:szCs w:val="24"/>
                      <w:lang w:eastAsia="tr-TR"/>
                    </w:rPr>
                  </w:pPr>
                  <w:r w:rsidRPr="00750F42">
                    <w:rPr>
                      <w:rFonts w:ascii="Times New Roman" w:eastAsia="Times New Roman" w:hAnsi="Times New Roman" w:cs="Times New Roman"/>
                      <w:b/>
                      <w:bCs/>
                      <w:sz w:val="18"/>
                      <w:szCs w:val="18"/>
                      <w:lang w:eastAsia="tr-TR"/>
                    </w:rPr>
                    <w:t>(ABD Doları/Kg*)</w:t>
                  </w:r>
                </w:p>
              </w:tc>
            </w:tr>
            <w:tr w:rsidR="00750F42" w:rsidRPr="00750F42">
              <w:trPr>
                <w:trHeight w:val="414"/>
                <w:jc w:val="center"/>
              </w:trPr>
              <w:tc>
                <w:tcPr>
                  <w:tcW w:w="1877"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50F42" w:rsidRPr="00750F42" w:rsidRDefault="00750F42" w:rsidP="00750F42">
                  <w:pPr>
                    <w:spacing w:after="0" w:line="240" w:lineRule="auto"/>
                    <w:jc w:val="center"/>
                    <w:rPr>
                      <w:rFonts w:ascii="Times New Roman" w:eastAsia="Times New Roman" w:hAnsi="Times New Roman" w:cs="Times New Roman"/>
                      <w:sz w:val="24"/>
                      <w:szCs w:val="24"/>
                      <w:lang w:eastAsia="tr-TR"/>
                    </w:rPr>
                  </w:pPr>
                  <w:r w:rsidRPr="00750F42">
                    <w:rPr>
                      <w:rFonts w:ascii="Times New Roman" w:eastAsia="Times New Roman" w:hAnsi="Times New Roman" w:cs="Times New Roman"/>
                      <w:sz w:val="18"/>
                      <w:szCs w:val="18"/>
                      <w:lang w:eastAsia="tr-TR"/>
                    </w:rPr>
                    <w:t>3920.51.00.00.00</w:t>
                  </w: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0F42" w:rsidRPr="00750F42" w:rsidRDefault="00750F42" w:rsidP="00750F42">
                  <w:pPr>
                    <w:spacing w:after="0" w:line="240" w:lineRule="auto"/>
                    <w:jc w:val="center"/>
                    <w:rPr>
                      <w:rFonts w:ascii="Times New Roman" w:eastAsia="Times New Roman" w:hAnsi="Times New Roman" w:cs="Times New Roman"/>
                      <w:sz w:val="24"/>
                      <w:szCs w:val="24"/>
                      <w:lang w:eastAsia="tr-TR"/>
                    </w:rPr>
                  </w:pPr>
                  <w:proofErr w:type="spellStart"/>
                  <w:r w:rsidRPr="00750F42">
                    <w:rPr>
                      <w:rFonts w:ascii="Times New Roman" w:eastAsia="Times New Roman" w:hAnsi="Times New Roman" w:cs="Times New Roman"/>
                      <w:color w:val="000000"/>
                      <w:sz w:val="18"/>
                      <w:szCs w:val="18"/>
                      <w:lang w:eastAsia="tr-TR"/>
                    </w:rPr>
                    <w:t>Poli</w:t>
                  </w:r>
                  <w:proofErr w:type="spellEnd"/>
                  <w:r w:rsidRPr="00750F42">
                    <w:rPr>
                      <w:rFonts w:ascii="Times New Roman" w:eastAsia="Times New Roman" w:hAnsi="Times New Roman" w:cs="Times New Roman"/>
                      <w:color w:val="000000"/>
                      <w:sz w:val="18"/>
                      <w:szCs w:val="18"/>
                      <w:lang w:eastAsia="tr-TR"/>
                    </w:rPr>
                    <w:t xml:space="preserve">(metil </w:t>
                  </w:r>
                  <w:proofErr w:type="spellStart"/>
                  <w:r w:rsidRPr="00750F42">
                    <w:rPr>
                      <w:rFonts w:ascii="Times New Roman" w:eastAsia="Times New Roman" w:hAnsi="Times New Roman" w:cs="Times New Roman"/>
                      <w:color w:val="000000"/>
                      <w:sz w:val="18"/>
                      <w:szCs w:val="18"/>
                      <w:lang w:eastAsia="tr-TR"/>
                    </w:rPr>
                    <w:t>metakrilik</w:t>
                  </w:r>
                  <w:proofErr w:type="spellEnd"/>
                  <w:r w:rsidRPr="00750F42">
                    <w:rPr>
                      <w:rFonts w:ascii="Times New Roman" w:eastAsia="Times New Roman" w:hAnsi="Times New Roman" w:cs="Times New Roman"/>
                      <w:color w:val="000000"/>
                      <w:sz w:val="18"/>
                      <w:szCs w:val="18"/>
                      <w:lang w:eastAsia="tr-TR"/>
                    </w:rPr>
                    <w:t>)ten olanlar (kalınlığı 12 milimetre ve altında olanlar)</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0F42" w:rsidRPr="00750F42" w:rsidRDefault="00750F42" w:rsidP="00750F42">
                  <w:pPr>
                    <w:spacing w:after="0" w:line="240" w:lineRule="auto"/>
                    <w:jc w:val="center"/>
                    <w:rPr>
                      <w:rFonts w:ascii="Times New Roman" w:eastAsia="Times New Roman" w:hAnsi="Times New Roman" w:cs="Times New Roman"/>
                      <w:sz w:val="24"/>
                      <w:szCs w:val="24"/>
                      <w:lang w:eastAsia="tr-TR"/>
                    </w:rPr>
                  </w:pPr>
                  <w:r w:rsidRPr="00750F42">
                    <w:rPr>
                      <w:rFonts w:ascii="Times New Roman" w:eastAsia="Times New Roman" w:hAnsi="Times New Roman" w:cs="Times New Roman"/>
                      <w:sz w:val="18"/>
                      <w:szCs w:val="18"/>
                      <w:lang w:eastAsia="tr-TR"/>
                    </w:rPr>
                    <w:t>10</w:t>
                  </w:r>
                </w:p>
              </w:tc>
            </w:tr>
            <w:tr w:rsidR="00750F42" w:rsidRPr="00750F42">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750F42" w:rsidRPr="00750F42" w:rsidRDefault="00750F42" w:rsidP="00750F42">
                  <w:pPr>
                    <w:spacing w:after="0" w:line="240" w:lineRule="auto"/>
                    <w:rPr>
                      <w:rFonts w:ascii="Times New Roman" w:eastAsia="Times New Roman" w:hAnsi="Times New Roman" w:cs="Times New Roman"/>
                      <w:sz w:val="24"/>
                      <w:szCs w:val="24"/>
                      <w:lang w:eastAsia="tr-TR"/>
                    </w:rPr>
                  </w:pP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0F42" w:rsidRPr="00750F42" w:rsidRDefault="00750F42" w:rsidP="00750F42">
                  <w:pPr>
                    <w:spacing w:after="0" w:line="240" w:lineRule="auto"/>
                    <w:jc w:val="center"/>
                    <w:rPr>
                      <w:rFonts w:ascii="Times New Roman" w:eastAsia="Times New Roman" w:hAnsi="Times New Roman" w:cs="Times New Roman"/>
                      <w:sz w:val="24"/>
                      <w:szCs w:val="24"/>
                      <w:lang w:eastAsia="tr-TR"/>
                    </w:rPr>
                  </w:pPr>
                  <w:proofErr w:type="spellStart"/>
                  <w:r w:rsidRPr="00750F42">
                    <w:rPr>
                      <w:rFonts w:ascii="Times New Roman" w:eastAsia="Times New Roman" w:hAnsi="Times New Roman" w:cs="Times New Roman"/>
                      <w:color w:val="000000"/>
                      <w:sz w:val="18"/>
                      <w:szCs w:val="18"/>
                      <w:lang w:eastAsia="tr-TR"/>
                    </w:rPr>
                    <w:t>Poli</w:t>
                  </w:r>
                  <w:proofErr w:type="spellEnd"/>
                  <w:r w:rsidRPr="00750F42">
                    <w:rPr>
                      <w:rFonts w:ascii="Times New Roman" w:eastAsia="Times New Roman" w:hAnsi="Times New Roman" w:cs="Times New Roman"/>
                      <w:color w:val="000000"/>
                      <w:sz w:val="18"/>
                      <w:szCs w:val="18"/>
                      <w:lang w:eastAsia="tr-TR"/>
                    </w:rPr>
                    <w:t xml:space="preserve">(metil </w:t>
                  </w:r>
                  <w:proofErr w:type="spellStart"/>
                  <w:r w:rsidRPr="00750F42">
                    <w:rPr>
                      <w:rFonts w:ascii="Times New Roman" w:eastAsia="Times New Roman" w:hAnsi="Times New Roman" w:cs="Times New Roman"/>
                      <w:color w:val="000000"/>
                      <w:sz w:val="18"/>
                      <w:szCs w:val="18"/>
                      <w:lang w:eastAsia="tr-TR"/>
                    </w:rPr>
                    <w:t>metakrilik</w:t>
                  </w:r>
                  <w:proofErr w:type="spellEnd"/>
                  <w:r w:rsidRPr="00750F42">
                    <w:rPr>
                      <w:rFonts w:ascii="Times New Roman" w:eastAsia="Times New Roman" w:hAnsi="Times New Roman" w:cs="Times New Roman"/>
                      <w:color w:val="000000"/>
                      <w:sz w:val="18"/>
                      <w:szCs w:val="18"/>
                      <w:lang w:eastAsia="tr-TR"/>
                    </w:rPr>
                    <w:t xml:space="preserve">)ten olanlar </w:t>
                  </w:r>
                  <w:proofErr w:type="gramStart"/>
                  <w:r w:rsidRPr="00750F42">
                    <w:rPr>
                      <w:rFonts w:ascii="Times New Roman" w:eastAsia="Times New Roman" w:hAnsi="Times New Roman" w:cs="Times New Roman"/>
                      <w:color w:val="000000"/>
                      <w:sz w:val="18"/>
                      <w:szCs w:val="18"/>
                      <w:lang w:eastAsia="tr-TR"/>
                    </w:rPr>
                    <w:t>(</w:t>
                  </w:r>
                  <w:proofErr w:type="gramEnd"/>
                  <w:r w:rsidRPr="00750F42">
                    <w:rPr>
                      <w:rFonts w:ascii="Times New Roman" w:eastAsia="Times New Roman" w:hAnsi="Times New Roman" w:cs="Times New Roman"/>
                      <w:color w:val="000000"/>
                      <w:sz w:val="18"/>
                      <w:szCs w:val="18"/>
                      <w:lang w:eastAsia="tr-TR"/>
                    </w:rPr>
                    <w:t>kalınlığı 12 milimetre üstünde olanlar</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50F42" w:rsidRPr="00750F42" w:rsidRDefault="00750F42" w:rsidP="00750F42">
                  <w:pPr>
                    <w:spacing w:after="0" w:line="240" w:lineRule="auto"/>
                    <w:jc w:val="center"/>
                    <w:rPr>
                      <w:rFonts w:ascii="Times New Roman" w:eastAsia="Times New Roman" w:hAnsi="Times New Roman" w:cs="Times New Roman"/>
                      <w:sz w:val="24"/>
                      <w:szCs w:val="24"/>
                      <w:lang w:eastAsia="tr-TR"/>
                    </w:rPr>
                  </w:pPr>
                  <w:r w:rsidRPr="00750F42">
                    <w:rPr>
                      <w:rFonts w:ascii="Times New Roman" w:eastAsia="Times New Roman" w:hAnsi="Times New Roman" w:cs="Times New Roman"/>
                      <w:sz w:val="18"/>
                      <w:szCs w:val="18"/>
                      <w:lang w:eastAsia="tr-TR"/>
                    </w:rPr>
                    <w:t>6</w:t>
                  </w:r>
                </w:p>
              </w:tc>
            </w:tr>
          </w:tbl>
          <w:p w:rsidR="00750F42" w:rsidRPr="00750F42" w:rsidRDefault="00750F42" w:rsidP="00750F42">
            <w:pPr>
              <w:spacing w:after="0" w:line="240" w:lineRule="auto"/>
              <w:ind w:firstLine="471"/>
              <w:rPr>
                <w:rFonts w:ascii="Times New Roman" w:eastAsia="Times New Roman" w:hAnsi="Times New Roman" w:cs="Times New Roman"/>
                <w:sz w:val="19"/>
                <w:szCs w:val="19"/>
                <w:lang w:eastAsia="tr-TR"/>
              </w:rPr>
            </w:pPr>
            <w:r w:rsidRPr="00750F42">
              <w:rPr>
                <w:rFonts w:ascii="Times New Roman" w:eastAsia="Times New Roman" w:hAnsi="Times New Roman" w:cs="Times New Roman"/>
                <w:sz w:val="18"/>
                <w:szCs w:val="18"/>
                <w:lang w:eastAsia="tr-TR"/>
              </w:rPr>
              <w:t>* Kg: Brüt</w:t>
            </w:r>
            <w:r w:rsidRPr="00750F42">
              <w:rPr>
                <w:rFonts w:ascii="Times New Roman" w:eastAsia="Times New Roman" w:hAnsi="Times New Roman" w:cs="Times New Roman"/>
                <w:b/>
                <w:bCs/>
                <w:sz w:val="18"/>
                <w:szCs w:val="18"/>
                <w:lang w:eastAsia="tr-TR"/>
              </w:rPr>
              <w:t> </w:t>
            </w:r>
            <w:r w:rsidRPr="00750F42">
              <w:rPr>
                <w:rFonts w:ascii="Times New Roman" w:eastAsia="Times New Roman" w:hAnsi="Times New Roman" w:cs="Times New Roman"/>
                <w:sz w:val="18"/>
                <w:szCs w:val="18"/>
                <w:lang w:eastAsia="tr-TR"/>
              </w:rPr>
              <w:t>Ağırlık</w:t>
            </w:r>
          </w:p>
          <w:p w:rsidR="00750F42" w:rsidRPr="00750F42" w:rsidRDefault="00750F42" w:rsidP="00750F42">
            <w:pPr>
              <w:spacing w:after="0" w:line="240" w:lineRule="auto"/>
              <w:ind w:firstLine="471"/>
              <w:rPr>
                <w:rFonts w:ascii="Times New Roman" w:eastAsia="Times New Roman" w:hAnsi="Times New Roman" w:cs="Times New Roman"/>
                <w:sz w:val="19"/>
                <w:szCs w:val="19"/>
                <w:lang w:eastAsia="tr-TR"/>
              </w:rPr>
            </w:pPr>
            <w:r w:rsidRPr="00750F42">
              <w:rPr>
                <w:rFonts w:ascii="Times New Roman" w:eastAsia="Times New Roman" w:hAnsi="Times New Roman" w:cs="Times New Roman"/>
                <w:sz w:val="18"/>
                <w:szCs w:val="18"/>
                <w:lang w:eastAsia="tr-TR"/>
              </w:rPr>
              <w:t> </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Gözetim uygulaması</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MADDE 2 –</w:t>
            </w:r>
            <w:r w:rsidRPr="00750F42">
              <w:rPr>
                <w:rFonts w:ascii="Times New Roman" w:eastAsia="Times New Roman" w:hAnsi="Times New Roman" w:cs="Times New Roman"/>
                <w:sz w:val="18"/>
                <w:szCs w:val="18"/>
                <w:lang w:eastAsia="tr-TR"/>
              </w:rPr>
              <w:t xml:space="preserve"> (1) Bu Tebliğin 1 inci maddesinde belirtilen eşya ancak Ekonomi Bakanlığınca (İthalat Genel Müdürlüğü) düzenlenecek Gözetim Belgesi ile ithal edilir. Gözetim Belgesi gümrük beyannamesinin tescilinde ilgili gümrük idaresince aranır. Elektronik ortamda düzenlenen Gözetim Belgeleri için Tek Pencere Sistemi tarafından verilecek 23 haneli belge numarası ile belge tarihi yükümlü tarafından beyannamenin 44 </w:t>
            </w:r>
            <w:proofErr w:type="spellStart"/>
            <w:r w:rsidRPr="00750F42">
              <w:rPr>
                <w:rFonts w:ascii="Times New Roman" w:eastAsia="Times New Roman" w:hAnsi="Times New Roman" w:cs="Times New Roman"/>
                <w:sz w:val="18"/>
                <w:szCs w:val="18"/>
                <w:lang w:eastAsia="tr-TR"/>
              </w:rPr>
              <w:t>nolu</w:t>
            </w:r>
            <w:proofErr w:type="spellEnd"/>
            <w:r w:rsidRPr="00750F42">
              <w:rPr>
                <w:rFonts w:ascii="Times New Roman" w:eastAsia="Times New Roman" w:hAnsi="Times New Roman" w:cs="Times New Roman"/>
                <w:sz w:val="18"/>
                <w:szCs w:val="18"/>
                <w:lang w:eastAsia="tr-TR"/>
              </w:rPr>
              <w:t xml:space="preserve"> kutusunda “Belge Referans No” ve “Belge Tarihi” alanlarında beyan edilir.</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Başvuru</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MADDE 3 –</w:t>
            </w:r>
            <w:r w:rsidRPr="00750F42">
              <w:rPr>
                <w:rFonts w:ascii="Times New Roman" w:eastAsia="Times New Roman" w:hAnsi="Times New Roman" w:cs="Times New Roman"/>
                <w:sz w:val="18"/>
                <w:szCs w:val="18"/>
                <w:lang w:eastAsia="tr-TR"/>
              </w:rPr>
              <w:t> (1) Gözetim Belgesi taleplerine ilişkin başvuruların değerlendirilebilmesi için Ek-1’de yer alan “Gözetim Belgesi Başvuru Formu” ve Ek-2’de yer alan formlar ve belgelerin eksiksiz bir şekilde İthalat Genel Müdürlüğüne iletilmesi gerekir.</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İnceleme</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MADDE 4 –</w:t>
            </w:r>
            <w:r w:rsidRPr="00750F42">
              <w:rPr>
                <w:rFonts w:ascii="Times New Roman" w:eastAsia="Times New Roman" w:hAnsi="Times New Roman" w:cs="Times New Roman"/>
                <w:sz w:val="18"/>
                <w:szCs w:val="18"/>
                <w:lang w:eastAsia="tr-TR"/>
              </w:rPr>
              <w:t> (1) Bu Tebliğin 3 üncü maddesinde belirtilen formlar ve belgelerin İthalat Genel Müdürlüğüne iletilmesini müteakip İthalat Genel Müdürlüğü tarafından gerekli görülmesi veya iletilen bilgi ve belgelerde çelişki tespit edilmesi halinde ek bilgi ve belge istenebilir.</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Yaptırım</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MADDE 5 –</w:t>
            </w:r>
            <w:r w:rsidRPr="00750F42">
              <w:rPr>
                <w:rFonts w:ascii="Times New Roman" w:eastAsia="Times New Roman" w:hAnsi="Times New Roman" w:cs="Times New Roman"/>
                <w:sz w:val="18"/>
                <w:szCs w:val="18"/>
                <w:lang w:eastAsia="tr-TR"/>
              </w:rPr>
              <w:t> (1) Başvuru ya da inceleme aşamasında istenen belgelerde başvuru sahibinin beyanının gerçeğe aykırı olduğunun veya sunduğu bilgi ve belgelerde tutarsızlık veya eksiklik bulunduğunun tespit edilmesi halinde Gözetim Belgesi düzenlenmez.</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Gözetim belgesine ve gözetim belgesinin kullanımına ait bilgiler</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MADDE 6 –</w:t>
            </w:r>
            <w:r w:rsidRPr="00750F42">
              <w:rPr>
                <w:rFonts w:ascii="Times New Roman" w:eastAsia="Times New Roman" w:hAnsi="Times New Roman" w:cs="Times New Roman"/>
                <w:sz w:val="18"/>
                <w:szCs w:val="18"/>
                <w:lang w:eastAsia="tr-TR"/>
              </w:rPr>
              <w:t> (1) Gözetim Belgelerinin geçerlilik süresi altı aydır.</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sz w:val="18"/>
                <w:szCs w:val="18"/>
                <w:lang w:eastAsia="tr-TR"/>
              </w:rPr>
              <w:t xml:space="preserve">(2) Gözetim Belgesi, </w:t>
            </w:r>
            <w:proofErr w:type="gramStart"/>
            <w:r w:rsidRPr="00750F42">
              <w:rPr>
                <w:rFonts w:ascii="Times New Roman" w:eastAsia="Times New Roman" w:hAnsi="Times New Roman" w:cs="Times New Roman"/>
                <w:sz w:val="18"/>
                <w:szCs w:val="18"/>
                <w:lang w:eastAsia="tr-TR"/>
              </w:rPr>
              <w:t>27/10/1999</w:t>
            </w:r>
            <w:proofErr w:type="gramEnd"/>
            <w:r w:rsidRPr="00750F42">
              <w:rPr>
                <w:rFonts w:ascii="Times New Roman" w:eastAsia="Times New Roman" w:hAnsi="Times New Roman" w:cs="Times New Roman"/>
                <w:sz w:val="18"/>
                <w:szCs w:val="18"/>
                <w:lang w:eastAsia="tr-TR"/>
              </w:rPr>
              <w:t xml:space="preserve"> tarihli ve 4458 sayılı Gümrük Kanununun eşyanın gümrük kıymetine ilişkin hükümlerinin uygulanmasını engellemez. 1 inci maddede belirtilen kıymet, 4458 sayılı Gümrük Kanununun eşyanın gümrük kıymetine ilişkin hükümlerinin uygulanmasına esas teşkil etmez.</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Yürürlükten kaldırılan mevzuat</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MADDE 7 –</w:t>
            </w:r>
            <w:r w:rsidRPr="00750F42">
              <w:rPr>
                <w:rFonts w:ascii="Times New Roman" w:eastAsia="Times New Roman" w:hAnsi="Times New Roman" w:cs="Times New Roman"/>
                <w:sz w:val="18"/>
                <w:szCs w:val="18"/>
                <w:lang w:eastAsia="tr-TR"/>
              </w:rPr>
              <w:t xml:space="preserve"> (1) 2/7/2015 tarihli ve 29404 sayılı Resmî </w:t>
            </w:r>
            <w:proofErr w:type="spellStart"/>
            <w:r w:rsidRPr="00750F42">
              <w:rPr>
                <w:rFonts w:ascii="Times New Roman" w:eastAsia="Times New Roman" w:hAnsi="Times New Roman" w:cs="Times New Roman"/>
                <w:sz w:val="18"/>
                <w:szCs w:val="18"/>
                <w:lang w:eastAsia="tr-TR"/>
              </w:rPr>
              <w:t>Gazete’de</w:t>
            </w:r>
            <w:proofErr w:type="spellEnd"/>
            <w:r w:rsidRPr="00750F42">
              <w:rPr>
                <w:rFonts w:ascii="Times New Roman" w:eastAsia="Times New Roman" w:hAnsi="Times New Roman" w:cs="Times New Roman"/>
                <w:sz w:val="18"/>
                <w:szCs w:val="18"/>
                <w:lang w:eastAsia="tr-TR"/>
              </w:rPr>
              <w:t xml:space="preserve"> yayımlanan İthalatta Gözetim Uygulanmasına İlişkin Tebliğ (Tebliğ No: 2015/4) yürürlükten kaldırılmıştır.</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Yürürlük</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MADDE 8 –</w:t>
            </w:r>
            <w:r w:rsidRPr="00750F42">
              <w:rPr>
                <w:rFonts w:ascii="Times New Roman" w:eastAsia="Times New Roman" w:hAnsi="Times New Roman" w:cs="Times New Roman"/>
                <w:sz w:val="18"/>
                <w:szCs w:val="18"/>
                <w:lang w:eastAsia="tr-TR"/>
              </w:rPr>
              <w:t> (1) Bu Tebliğ yayımı tarihini takip eden 30 uncu gün yürürlüğe girer.</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Yürütme</w:t>
            </w:r>
          </w:p>
          <w:p w:rsidR="00750F42" w:rsidRPr="00750F42" w:rsidRDefault="00750F42" w:rsidP="00750F42">
            <w:pPr>
              <w:spacing w:after="0" w:line="240" w:lineRule="atLeast"/>
              <w:ind w:firstLine="566"/>
              <w:jc w:val="both"/>
              <w:rPr>
                <w:rFonts w:ascii="Times New Roman" w:eastAsia="Times New Roman" w:hAnsi="Times New Roman" w:cs="Times New Roman"/>
                <w:sz w:val="19"/>
                <w:szCs w:val="19"/>
                <w:lang w:eastAsia="tr-TR"/>
              </w:rPr>
            </w:pPr>
            <w:r w:rsidRPr="00750F42">
              <w:rPr>
                <w:rFonts w:ascii="Times New Roman" w:eastAsia="Times New Roman" w:hAnsi="Times New Roman" w:cs="Times New Roman"/>
                <w:b/>
                <w:bCs/>
                <w:sz w:val="18"/>
                <w:szCs w:val="18"/>
                <w:lang w:eastAsia="tr-TR"/>
              </w:rPr>
              <w:t>MADDE 9 –</w:t>
            </w:r>
            <w:r w:rsidRPr="00750F42">
              <w:rPr>
                <w:rFonts w:ascii="Times New Roman" w:eastAsia="Times New Roman" w:hAnsi="Times New Roman" w:cs="Times New Roman"/>
                <w:sz w:val="18"/>
                <w:szCs w:val="18"/>
                <w:lang w:eastAsia="tr-TR"/>
              </w:rPr>
              <w:t> (1) Bu Tebliğ hükümlerini Ekonomi Bakanı yürütür.</w:t>
            </w:r>
          </w:p>
          <w:p w:rsidR="00750F42" w:rsidRPr="00750F42" w:rsidRDefault="00750F42" w:rsidP="00750F42">
            <w:pPr>
              <w:spacing w:after="0" w:line="240" w:lineRule="atLeast"/>
              <w:jc w:val="center"/>
              <w:rPr>
                <w:rFonts w:ascii="Times New Roman" w:eastAsia="Times New Roman" w:hAnsi="Times New Roman" w:cs="Times New Roman"/>
                <w:sz w:val="19"/>
                <w:szCs w:val="19"/>
                <w:lang w:eastAsia="tr-TR"/>
              </w:rPr>
            </w:pPr>
            <w:r w:rsidRPr="00750F42">
              <w:rPr>
                <w:rFonts w:ascii="Times New Roman" w:eastAsia="Times New Roman" w:hAnsi="Times New Roman" w:cs="Times New Roman"/>
                <w:sz w:val="18"/>
                <w:szCs w:val="18"/>
                <w:lang w:eastAsia="tr-TR"/>
              </w:rPr>
              <w:t> </w:t>
            </w:r>
          </w:p>
          <w:p w:rsidR="00750F42" w:rsidRPr="00750F42" w:rsidRDefault="00750F42" w:rsidP="00750F42">
            <w:pPr>
              <w:spacing w:after="0" w:line="240" w:lineRule="atLeast"/>
              <w:jc w:val="center"/>
              <w:rPr>
                <w:rFonts w:ascii="Times New Roman" w:eastAsia="Times New Roman" w:hAnsi="Times New Roman" w:cs="Times New Roman"/>
                <w:sz w:val="19"/>
                <w:szCs w:val="19"/>
                <w:lang w:eastAsia="tr-TR"/>
              </w:rPr>
            </w:pPr>
            <w:r w:rsidRPr="00750F42">
              <w:rPr>
                <w:rFonts w:ascii="Times New Roman" w:eastAsia="Times New Roman" w:hAnsi="Times New Roman" w:cs="Times New Roman"/>
                <w:sz w:val="18"/>
                <w:szCs w:val="18"/>
                <w:lang w:eastAsia="tr-TR"/>
              </w:rPr>
              <w:t> </w:t>
            </w:r>
          </w:p>
          <w:p w:rsidR="00750F42" w:rsidRPr="00750F42" w:rsidRDefault="002B45BE" w:rsidP="00750F42">
            <w:pPr>
              <w:spacing w:after="0" w:line="240" w:lineRule="atLeast"/>
              <w:rPr>
                <w:rFonts w:ascii="Times New Roman" w:eastAsia="Times New Roman" w:hAnsi="Times New Roman" w:cs="Times New Roman"/>
                <w:sz w:val="19"/>
                <w:szCs w:val="19"/>
                <w:lang w:eastAsia="tr-TR"/>
              </w:rPr>
            </w:pPr>
            <w:hyperlink r:id="rId4" w:history="1">
              <w:r w:rsidR="00750F42" w:rsidRPr="00750F42">
                <w:rPr>
                  <w:rFonts w:ascii="Times New Roman" w:eastAsia="Times New Roman" w:hAnsi="Times New Roman" w:cs="Times New Roman"/>
                  <w:b/>
                  <w:bCs/>
                  <w:color w:val="800080"/>
                  <w:sz w:val="18"/>
                  <w:szCs w:val="18"/>
                  <w:u w:val="single"/>
                  <w:lang w:eastAsia="tr-TR"/>
                </w:rPr>
                <w:t>Ekler için tıklayınız.</w:t>
              </w:r>
            </w:hyperlink>
          </w:p>
          <w:p w:rsidR="00750F42" w:rsidRPr="00750F42" w:rsidRDefault="00750F42" w:rsidP="00750F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0F42">
              <w:rPr>
                <w:rFonts w:ascii="Arial" w:eastAsia="Times New Roman" w:hAnsi="Arial" w:cs="Arial"/>
                <w:b/>
                <w:bCs/>
                <w:color w:val="000080"/>
                <w:sz w:val="18"/>
                <w:szCs w:val="18"/>
                <w:lang w:eastAsia="tr-TR"/>
              </w:rPr>
              <w:t> </w:t>
            </w:r>
          </w:p>
        </w:tc>
      </w:tr>
    </w:tbl>
    <w:p w:rsidR="00E87AE1" w:rsidRDefault="00E87AE1"/>
    <w:sectPr w:rsidR="00E87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75"/>
    <w:rsid w:val="002A663A"/>
    <w:rsid w:val="002B45BE"/>
    <w:rsid w:val="00750F42"/>
    <w:rsid w:val="00D97314"/>
    <w:rsid w:val="00E63975"/>
    <w:rsid w:val="00E87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236AC-C75A-4DCB-99E3-847D3722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7/09/20170916-18-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yılmaz</dc:creator>
  <cp:keywords/>
  <dc:description/>
  <cp:lastModifiedBy>Önal YILMAZ – ASSET GÜMRÜK MÜŞAVİRLİĞİ / İSTANBUL</cp:lastModifiedBy>
  <cp:revision>2</cp:revision>
  <dcterms:created xsi:type="dcterms:W3CDTF">2017-09-18T06:05:00Z</dcterms:created>
  <dcterms:modified xsi:type="dcterms:W3CDTF">2017-09-18T06:05:00Z</dcterms:modified>
</cp:coreProperties>
</file>