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1576BC" w:rsidRPr="001576BC" w:rsidTr="001576BC">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1576BC" w:rsidRPr="001576BC">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1576BC" w:rsidRPr="001576BC">
                    <w:trPr>
                      <w:trHeight w:val="4995"/>
                      <w:tblCellSpacing w:w="0" w:type="dxa"/>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72"/>
                        </w:tblGrid>
                        <w:tr w:rsidR="001576BC" w:rsidRPr="001576BC">
                          <w:tc>
                            <w:tcPr>
                              <w:tcW w:w="0" w:type="auto"/>
                              <w:vAlign w:val="center"/>
                              <w:hideMark/>
                            </w:tcPr>
                            <w:p w:rsidR="001576BC" w:rsidRPr="001576BC" w:rsidRDefault="001576BC" w:rsidP="001576BC">
                              <w:pPr>
                                <w:spacing w:after="0" w:line="240" w:lineRule="auto"/>
                                <w:jc w:val="center"/>
                                <w:rPr>
                                  <w:rFonts w:ascii="Verdana" w:eastAsia="Times New Roman" w:hAnsi="Verdana" w:cs="Times New Roman"/>
                                  <w:b/>
                                  <w:bCs/>
                                  <w:color w:val="9CA4BE"/>
                                  <w:sz w:val="18"/>
                                  <w:szCs w:val="18"/>
                                  <w:lang w:eastAsia="tr-TR"/>
                                </w:rPr>
                              </w:pPr>
                              <w:r w:rsidRPr="001576BC">
                                <w:rPr>
                                  <w:rFonts w:ascii="Verdana" w:eastAsia="Times New Roman" w:hAnsi="Verdana" w:cs="Times New Roman"/>
                                  <w:b/>
                                  <w:bCs/>
                                  <w:color w:val="9CA4BE"/>
                                  <w:sz w:val="18"/>
                                  <w:szCs w:val="18"/>
                                  <w:lang w:eastAsia="tr-TR"/>
                                </w:rPr>
                                <w:t>İthalatta Haksız Rekabetin Önlenmesine İlişkin Tebliğ (No: 2016/38) (24.09.2016 T. 29837 R.G.)</w:t>
                              </w:r>
                            </w:p>
                          </w:tc>
                        </w:tr>
                        <w:tr w:rsidR="001576BC" w:rsidRPr="001576BC">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1576BC" w:rsidRPr="001576BC">
                                <w:trPr>
                                  <w:tblCellSpacing w:w="15" w:type="dxa"/>
                                </w:trPr>
                                <w:tc>
                                  <w:tcPr>
                                    <w:tcW w:w="0" w:type="auto"/>
                                    <w:vAlign w:val="center"/>
                                    <w:hideMark/>
                                  </w:tcPr>
                                  <w:p w:rsidR="001576BC" w:rsidRPr="001576BC" w:rsidRDefault="001576BC" w:rsidP="001576BC">
                                    <w:pPr>
                                      <w:spacing w:after="0" w:line="240" w:lineRule="auto"/>
                                      <w:rPr>
                                        <w:rFonts w:ascii="Times New Roman" w:eastAsia="Times New Roman" w:hAnsi="Times New Roman" w:cs="Times New Roman"/>
                                        <w:sz w:val="24"/>
                                        <w:szCs w:val="24"/>
                                        <w:lang w:eastAsia="tr-TR"/>
                                      </w:rPr>
                                    </w:pPr>
                                  </w:p>
                                </w:tc>
                              </w:tr>
                            </w:tbl>
                            <w:p w:rsidR="001576BC" w:rsidRPr="001576BC" w:rsidRDefault="001576BC" w:rsidP="001576BC">
                              <w:pPr>
                                <w:spacing w:after="0" w:line="240" w:lineRule="auto"/>
                                <w:rPr>
                                  <w:rFonts w:ascii="Times New Roman" w:eastAsia="Times New Roman" w:hAnsi="Times New Roman" w:cs="Times New Roman"/>
                                  <w:sz w:val="24"/>
                                  <w:szCs w:val="24"/>
                                  <w:lang w:eastAsia="tr-TR"/>
                                </w:rPr>
                              </w:pPr>
                            </w:p>
                          </w:tc>
                        </w:tr>
                        <w:tr w:rsidR="001576BC" w:rsidRPr="001576BC">
                          <w:tc>
                            <w:tcPr>
                              <w:tcW w:w="0" w:type="auto"/>
                              <w:tcMar>
                                <w:top w:w="300" w:type="dxa"/>
                                <w:left w:w="150" w:type="dxa"/>
                                <w:bottom w:w="0" w:type="dxa"/>
                                <w:right w:w="150" w:type="dxa"/>
                              </w:tcMar>
                              <w:vAlign w:val="center"/>
                            </w:tcPr>
                            <w:p w:rsidR="001576BC" w:rsidRPr="001576BC" w:rsidRDefault="001576BC" w:rsidP="001576BC">
                              <w:pPr>
                                <w:spacing w:after="0" w:line="240" w:lineRule="atLeast"/>
                                <w:ind w:firstLine="566"/>
                                <w:jc w:val="both"/>
                                <w:rPr>
                                  <w:rFonts w:ascii="Verdana" w:eastAsia="Times New Roman" w:hAnsi="Verdana" w:cs="Times New Roman"/>
                                  <w:color w:val="000000"/>
                                  <w:sz w:val="20"/>
                                  <w:szCs w:val="20"/>
                                  <w:u w:val="single"/>
                                  <w:lang w:eastAsia="tr-TR"/>
                                </w:rPr>
                              </w:pPr>
                              <w:r w:rsidRPr="001576BC">
                                <w:rPr>
                                  <w:rFonts w:ascii="Verdana" w:eastAsia="Times New Roman" w:hAnsi="Verdana" w:cs="Times New Roman"/>
                                  <w:color w:val="000000"/>
                                  <w:sz w:val="20"/>
                                  <w:szCs w:val="20"/>
                                  <w:u w:val="single"/>
                                  <w:lang w:eastAsia="tr-TR"/>
                                </w:rPr>
                                <w:t>Ekonomi Bakanlığından:</w:t>
                              </w:r>
                            </w:p>
                            <w:p w:rsidR="001576BC" w:rsidRPr="001576BC" w:rsidRDefault="001576BC" w:rsidP="001576BC">
                              <w:pPr>
                                <w:spacing w:after="0" w:line="240" w:lineRule="atLeast"/>
                                <w:jc w:val="center"/>
                                <w:rPr>
                                  <w:rFonts w:ascii="Verdana" w:eastAsia="Times New Roman" w:hAnsi="Verdana" w:cs="Times New Roman"/>
                                  <w:b/>
                                  <w:bCs/>
                                  <w:color w:val="000000"/>
                                  <w:sz w:val="20"/>
                                  <w:szCs w:val="20"/>
                                  <w:lang w:eastAsia="tr-TR"/>
                                </w:rPr>
                              </w:pPr>
                              <w:r w:rsidRPr="001576BC">
                                <w:rPr>
                                  <w:rFonts w:ascii="Verdana" w:eastAsia="Times New Roman" w:hAnsi="Verdana" w:cs="Times New Roman"/>
                                  <w:b/>
                                  <w:bCs/>
                                  <w:color w:val="000000"/>
                                  <w:sz w:val="20"/>
                                  <w:szCs w:val="20"/>
                                  <w:lang w:eastAsia="tr-TR"/>
                                </w:rPr>
                                <w:t>İTHALATTA HAKSIZ REKABETİN ÖNLENMESİNE İLİŞKİN TEBLİĞ</w:t>
                              </w:r>
                            </w:p>
                            <w:p w:rsidR="001576BC" w:rsidRPr="001576BC" w:rsidRDefault="001576BC" w:rsidP="001576BC">
                              <w:pPr>
                                <w:spacing w:after="0" w:line="240" w:lineRule="atLeast"/>
                                <w:jc w:val="center"/>
                                <w:rPr>
                                  <w:rFonts w:ascii="Verdana" w:eastAsia="Times New Roman" w:hAnsi="Verdana" w:cs="Times New Roman"/>
                                  <w:b/>
                                  <w:bCs/>
                                  <w:color w:val="000000"/>
                                  <w:sz w:val="20"/>
                                  <w:szCs w:val="20"/>
                                  <w:lang w:eastAsia="tr-TR"/>
                                </w:rPr>
                              </w:pPr>
                              <w:r w:rsidRPr="001576BC">
                                <w:rPr>
                                  <w:rFonts w:ascii="Verdana" w:eastAsia="Times New Roman" w:hAnsi="Verdana" w:cs="Times New Roman"/>
                                  <w:b/>
                                  <w:bCs/>
                                  <w:color w:val="000000"/>
                                  <w:sz w:val="20"/>
                                  <w:szCs w:val="20"/>
                                  <w:lang w:eastAsia="tr-TR"/>
                                </w:rPr>
                                <w:t>(TEBLİĞ NO: 2016/38)</w:t>
                              </w:r>
                            </w:p>
                            <w:p w:rsidR="001576BC" w:rsidRPr="001576BC" w:rsidRDefault="001576BC" w:rsidP="001576BC">
                              <w:pPr>
                                <w:spacing w:after="0" w:line="240" w:lineRule="atLeast"/>
                                <w:jc w:val="center"/>
                                <w:rPr>
                                  <w:rFonts w:ascii="Verdana" w:eastAsia="Times New Roman" w:hAnsi="Verdana" w:cs="Times New Roman"/>
                                  <w:b/>
                                  <w:bCs/>
                                  <w:color w:val="000000"/>
                                  <w:sz w:val="20"/>
                                  <w:szCs w:val="20"/>
                                  <w:lang w:eastAsia="tr-TR"/>
                                </w:rPr>
                              </w:pPr>
                              <w:r w:rsidRPr="001576BC">
                                <w:rPr>
                                  <w:rFonts w:ascii="Verdana" w:eastAsia="Times New Roman" w:hAnsi="Verdana" w:cs="Times New Roman"/>
                                  <w:b/>
                                  <w:bCs/>
                                  <w:color w:val="000000"/>
                                  <w:sz w:val="20"/>
                                  <w:szCs w:val="20"/>
                                  <w:lang w:eastAsia="tr-TR"/>
                                </w:rPr>
                                <w:t>(24.09.2016 T. 29837 R.G.)</w:t>
                              </w:r>
                            </w:p>
                            <w:p w:rsidR="001576BC" w:rsidRPr="001576BC" w:rsidRDefault="001576BC" w:rsidP="001576BC">
                              <w:pPr>
                                <w:spacing w:after="0" w:line="240" w:lineRule="atLeast"/>
                                <w:ind w:firstLine="566"/>
                                <w:jc w:val="both"/>
                                <w:rPr>
                                  <w:rFonts w:ascii="Verdana" w:eastAsia="Times New Roman" w:hAnsi="Verdana" w:cs="Times New Roman"/>
                                  <w:color w:val="000000"/>
                                  <w:sz w:val="20"/>
                                  <w:szCs w:val="20"/>
                                  <w:lang w:eastAsia="tr-TR"/>
                                </w:rPr>
                              </w:pPr>
                              <w:r w:rsidRPr="001576BC">
                                <w:rPr>
                                  <w:rFonts w:ascii="Verdana" w:eastAsia="Times New Roman" w:hAnsi="Verdana" w:cs="Times New Roman"/>
                                  <w:b/>
                                  <w:bCs/>
                                  <w:color w:val="000000"/>
                                  <w:sz w:val="20"/>
                                  <w:szCs w:val="20"/>
                                  <w:lang w:eastAsia="tr-TR"/>
                                </w:rPr>
                                <w:t>Amaç ve kapsam</w:t>
                              </w:r>
                            </w:p>
                            <w:p w:rsidR="001576BC" w:rsidRPr="001576BC" w:rsidRDefault="001576BC" w:rsidP="001576BC">
                              <w:pPr>
                                <w:spacing w:after="0" w:line="240" w:lineRule="atLeast"/>
                                <w:ind w:firstLine="566"/>
                                <w:jc w:val="both"/>
                                <w:rPr>
                                  <w:rFonts w:ascii="Verdana" w:eastAsia="Times New Roman" w:hAnsi="Verdana" w:cs="Times New Roman"/>
                                  <w:color w:val="000000"/>
                                  <w:sz w:val="20"/>
                                  <w:szCs w:val="20"/>
                                  <w:lang w:eastAsia="tr-TR"/>
                                </w:rPr>
                              </w:pPr>
                              <w:r w:rsidRPr="001576BC">
                                <w:rPr>
                                  <w:rFonts w:ascii="Verdana" w:eastAsia="Times New Roman" w:hAnsi="Verdana" w:cs="Times New Roman"/>
                                  <w:b/>
                                  <w:bCs/>
                                  <w:color w:val="000000"/>
                                  <w:sz w:val="20"/>
                                  <w:szCs w:val="20"/>
                                  <w:lang w:eastAsia="tr-TR"/>
                                </w:rPr>
                                <w:t>MADDE 1 –</w:t>
                              </w:r>
                              <w:r w:rsidRPr="001576BC">
                                <w:rPr>
                                  <w:rFonts w:ascii="Verdana" w:eastAsia="Times New Roman" w:hAnsi="Verdana" w:cs="Times New Roman"/>
                                  <w:color w:val="000000"/>
                                  <w:sz w:val="20"/>
                                  <w:szCs w:val="20"/>
                                  <w:lang w:eastAsia="tr-TR"/>
                                </w:rPr>
                                <w:t> (1) Bu Tebliğin amacı, Kütahya Porselen Sanayi A.Ş. ve Heriş Seramik ve Turizm Sanayi A.Ş. tarafından yapılan başvuruya istinaden Çin Halk Cumhuriyeti menşeli “porselenden ve seramikten sofra ve mutfak eşyası” ürününün ithalatına ilişkin olarak damping soruşturması açılması ve açılan soruşturmanın usul ve esaslarının belirlenmesidir.</w:t>
                              </w:r>
                            </w:p>
                            <w:p w:rsidR="001576BC" w:rsidRPr="001576BC" w:rsidRDefault="001576BC" w:rsidP="001576BC">
                              <w:pPr>
                                <w:spacing w:after="0" w:line="240" w:lineRule="atLeast"/>
                                <w:ind w:firstLine="566"/>
                                <w:jc w:val="both"/>
                                <w:rPr>
                                  <w:rFonts w:ascii="Verdana" w:eastAsia="Times New Roman" w:hAnsi="Verdana" w:cs="Times New Roman"/>
                                  <w:color w:val="000000"/>
                                  <w:sz w:val="20"/>
                                  <w:szCs w:val="20"/>
                                  <w:lang w:eastAsia="tr-TR"/>
                                </w:rPr>
                              </w:pPr>
                              <w:r w:rsidRPr="001576BC">
                                <w:rPr>
                                  <w:rFonts w:ascii="Verdana" w:eastAsia="Times New Roman" w:hAnsi="Verdana" w:cs="Times New Roman"/>
                                  <w:b/>
                                  <w:bCs/>
                                  <w:color w:val="000000"/>
                                  <w:sz w:val="20"/>
                                  <w:szCs w:val="20"/>
                                  <w:lang w:eastAsia="tr-TR"/>
                                </w:rPr>
                                <w:t>Dayanak</w:t>
                              </w:r>
                            </w:p>
                            <w:p w:rsidR="001576BC" w:rsidRPr="001576BC" w:rsidRDefault="001576BC" w:rsidP="001576BC">
                              <w:pPr>
                                <w:spacing w:after="0" w:line="240" w:lineRule="atLeast"/>
                                <w:ind w:firstLine="566"/>
                                <w:jc w:val="both"/>
                                <w:rPr>
                                  <w:rFonts w:ascii="Verdana" w:eastAsia="Times New Roman" w:hAnsi="Verdana" w:cs="Times New Roman"/>
                                  <w:color w:val="000000"/>
                                  <w:sz w:val="20"/>
                                  <w:szCs w:val="20"/>
                                  <w:lang w:eastAsia="tr-TR"/>
                                </w:rPr>
                              </w:pPr>
                              <w:r w:rsidRPr="001576BC">
                                <w:rPr>
                                  <w:rFonts w:ascii="Verdana" w:eastAsia="Times New Roman" w:hAnsi="Verdana" w:cs="Times New Roman"/>
                                  <w:b/>
                                  <w:bCs/>
                                  <w:color w:val="000000"/>
                                  <w:sz w:val="20"/>
                                  <w:szCs w:val="20"/>
                                  <w:lang w:eastAsia="tr-TR"/>
                                </w:rPr>
                                <w:t>MADDE 2 –</w:t>
                              </w:r>
                              <w:r w:rsidRPr="001576BC">
                                <w:rPr>
                                  <w:rFonts w:ascii="Verdana" w:eastAsia="Times New Roman" w:hAnsi="Verdana" w:cs="Times New Roman"/>
                                  <w:color w:val="000000"/>
                                  <w:sz w:val="20"/>
                                  <w:szCs w:val="20"/>
                                  <w:lang w:eastAsia="tr-TR"/>
                                </w:rPr>
                                <w:t> (1) Bu Tebliğ, 14/6/1989 tarihli ve 3577 sayılı İthalatta Haksız Rekabetin Önlenmesi Hakkında Kanun, 20/10/1999 tarihli ve 99/13482 sayılı Bakanlar Kurulu Kararı ile yürürlüğe konulan İthalatta Haksız Rekabetin Önlenmesi Hakkında Karar ve 30/10/1999 tarihli ve 23861 sayılı Resmî Gazete’de yayımlanan İthalatta Haksız Rekabetin Önlenmesi Hakkında Yönetmeliğe dayanılarak hazırlanmıştır.</w:t>
                              </w:r>
                            </w:p>
                            <w:p w:rsidR="001576BC" w:rsidRPr="001576BC" w:rsidRDefault="001576BC" w:rsidP="001576BC">
                              <w:pPr>
                                <w:spacing w:after="0" w:line="240" w:lineRule="atLeast"/>
                                <w:ind w:firstLine="566"/>
                                <w:jc w:val="both"/>
                                <w:rPr>
                                  <w:rFonts w:ascii="Verdana" w:eastAsia="Times New Roman" w:hAnsi="Verdana" w:cs="Times New Roman"/>
                                  <w:color w:val="000000"/>
                                  <w:sz w:val="20"/>
                                  <w:szCs w:val="20"/>
                                  <w:lang w:eastAsia="tr-TR"/>
                                </w:rPr>
                              </w:pPr>
                              <w:r w:rsidRPr="001576BC">
                                <w:rPr>
                                  <w:rFonts w:ascii="Verdana" w:eastAsia="Times New Roman" w:hAnsi="Verdana" w:cs="Times New Roman"/>
                                  <w:b/>
                                  <w:bCs/>
                                  <w:color w:val="000000"/>
                                  <w:sz w:val="20"/>
                                  <w:szCs w:val="20"/>
                                  <w:lang w:eastAsia="tr-TR"/>
                                </w:rPr>
                                <w:t>Tanımlar</w:t>
                              </w:r>
                            </w:p>
                            <w:p w:rsidR="001576BC" w:rsidRPr="001576BC" w:rsidRDefault="001576BC" w:rsidP="001576BC">
                              <w:pPr>
                                <w:spacing w:after="0" w:line="240" w:lineRule="atLeast"/>
                                <w:ind w:firstLine="566"/>
                                <w:jc w:val="both"/>
                                <w:rPr>
                                  <w:rFonts w:ascii="Verdana" w:eastAsia="Times New Roman" w:hAnsi="Verdana" w:cs="Times New Roman"/>
                                  <w:color w:val="000000"/>
                                  <w:sz w:val="20"/>
                                  <w:szCs w:val="20"/>
                                  <w:lang w:eastAsia="tr-TR"/>
                                </w:rPr>
                              </w:pPr>
                              <w:r w:rsidRPr="001576BC">
                                <w:rPr>
                                  <w:rFonts w:ascii="Verdana" w:eastAsia="Times New Roman" w:hAnsi="Verdana" w:cs="Times New Roman"/>
                                  <w:b/>
                                  <w:bCs/>
                                  <w:color w:val="000000"/>
                                  <w:sz w:val="20"/>
                                  <w:szCs w:val="20"/>
                                  <w:lang w:eastAsia="tr-TR"/>
                                </w:rPr>
                                <w:t>MADDE 3 –</w:t>
                              </w:r>
                              <w:r w:rsidRPr="001576BC">
                                <w:rPr>
                                  <w:rFonts w:ascii="Verdana" w:eastAsia="Times New Roman" w:hAnsi="Verdana" w:cs="Times New Roman"/>
                                  <w:color w:val="000000"/>
                                  <w:sz w:val="20"/>
                                  <w:szCs w:val="20"/>
                                  <w:lang w:eastAsia="tr-TR"/>
                                </w:rPr>
                                <w:t> (1) Bu Tebliğde geçen;</w:t>
                              </w:r>
                            </w:p>
                            <w:p w:rsidR="001576BC" w:rsidRPr="001576BC" w:rsidRDefault="001576BC" w:rsidP="001576BC">
                              <w:pPr>
                                <w:spacing w:after="0" w:line="240" w:lineRule="atLeast"/>
                                <w:ind w:firstLine="566"/>
                                <w:jc w:val="both"/>
                                <w:rPr>
                                  <w:rFonts w:ascii="Verdana" w:eastAsia="Times New Roman" w:hAnsi="Verdana" w:cs="Times New Roman"/>
                                  <w:color w:val="000000"/>
                                  <w:sz w:val="20"/>
                                  <w:szCs w:val="20"/>
                                  <w:lang w:eastAsia="tr-TR"/>
                                </w:rPr>
                              </w:pPr>
                              <w:r w:rsidRPr="001576BC">
                                <w:rPr>
                                  <w:rFonts w:ascii="Verdana" w:eastAsia="Times New Roman" w:hAnsi="Verdana" w:cs="Times New Roman"/>
                                  <w:color w:val="000000"/>
                                  <w:sz w:val="20"/>
                                  <w:szCs w:val="20"/>
                                  <w:lang w:eastAsia="tr-TR"/>
                                </w:rPr>
                                <w:t>a) Bakanlık: Ekonomi Bakanlığını,</w:t>
                              </w:r>
                            </w:p>
                            <w:p w:rsidR="001576BC" w:rsidRPr="001576BC" w:rsidRDefault="001576BC" w:rsidP="001576BC">
                              <w:pPr>
                                <w:spacing w:after="0" w:line="240" w:lineRule="atLeast"/>
                                <w:ind w:firstLine="566"/>
                                <w:jc w:val="both"/>
                                <w:rPr>
                                  <w:rFonts w:ascii="Verdana" w:eastAsia="Times New Roman" w:hAnsi="Verdana" w:cs="Times New Roman"/>
                                  <w:color w:val="000000"/>
                                  <w:sz w:val="20"/>
                                  <w:szCs w:val="20"/>
                                  <w:lang w:eastAsia="tr-TR"/>
                                </w:rPr>
                              </w:pPr>
                              <w:r w:rsidRPr="001576BC">
                                <w:rPr>
                                  <w:rFonts w:ascii="Verdana" w:eastAsia="Times New Roman" w:hAnsi="Verdana" w:cs="Times New Roman"/>
                                  <w:color w:val="000000"/>
                                  <w:sz w:val="20"/>
                                  <w:szCs w:val="20"/>
                                  <w:lang w:eastAsia="tr-TR"/>
                                </w:rPr>
                                <w:t>b) Genel Müdürlük: Bakanlık İthalat Genel Müdürlüğünü,</w:t>
                              </w:r>
                            </w:p>
                            <w:p w:rsidR="001576BC" w:rsidRPr="001576BC" w:rsidRDefault="001576BC" w:rsidP="001576BC">
                              <w:pPr>
                                <w:spacing w:after="0" w:line="240" w:lineRule="atLeast"/>
                                <w:ind w:firstLine="566"/>
                                <w:jc w:val="both"/>
                                <w:rPr>
                                  <w:rFonts w:ascii="Verdana" w:eastAsia="Times New Roman" w:hAnsi="Verdana" w:cs="Times New Roman"/>
                                  <w:color w:val="000000"/>
                                  <w:sz w:val="20"/>
                                  <w:szCs w:val="20"/>
                                  <w:lang w:eastAsia="tr-TR"/>
                                </w:rPr>
                              </w:pPr>
                              <w:r w:rsidRPr="001576BC">
                                <w:rPr>
                                  <w:rFonts w:ascii="Verdana" w:eastAsia="Times New Roman" w:hAnsi="Verdana" w:cs="Times New Roman"/>
                                  <w:color w:val="000000"/>
                                  <w:sz w:val="20"/>
                                  <w:szCs w:val="20"/>
                                  <w:lang w:eastAsia="tr-TR"/>
                                </w:rPr>
                                <w:t>c) GTİP: Gümrük tarife istatistik pozisyonunu,</w:t>
                              </w:r>
                            </w:p>
                            <w:p w:rsidR="001576BC" w:rsidRPr="001576BC" w:rsidRDefault="001576BC" w:rsidP="001576BC">
                              <w:pPr>
                                <w:spacing w:after="0" w:line="240" w:lineRule="atLeast"/>
                                <w:ind w:firstLine="566"/>
                                <w:jc w:val="both"/>
                                <w:rPr>
                                  <w:rFonts w:ascii="Verdana" w:eastAsia="Times New Roman" w:hAnsi="Verdana" w:cs="Times New Roman"/>
                                  <w:color w:val="000000"/>
                                  <w:sz w:val="20"/>
                                  <w:szCs w:val="20"/>
                                  <w:lang w:eastAsia="tr-TR"/>
                                </w:rPr>
                              </w:pPr>
                              <w:r w:rsidRPr="001576BC">
                                <w:rPr>
                                  <w:rFonts w:ascii="Verdana" w:eastAsia="Times New Roman" w:hAnsi="Verdana" w:cs="Times New Roman"/>
                                  <w:color w:val="000000"/>
                                  <w:sz w:val="20"/>
                                  <w:szCs w:val="20"/>
                                  <w:lang w:eastAsia="tr-TR"/>
                                </w:rPr>
                                <w:t>ç) Kanun: 14/6/1989 tarihli ve 3577 sayılı İthalatta Haksız Rekabetin Önlenmesi Hakkında Kanunu,</w:t>
                              </w:r>
                            </w:p>
                            <w:p w:rsidR="001576BC" w:rsidRPr="001576BC" w:rsidRDefault="001576BC" w:rsidP="001576BC">
                              <w:pPr>
                                <w:spacing w:after="0" w:line="240" w:lineRule="atLeast"/>
                                <w:ind w:firstLine="566"/>
                                <w:jc w:val="both"/>
                                <w:rPr>
                                  <w:rFonts w:ascii="Verdana" w:eastAsia="Times New Roman" w:hAnsi="Verdana" w:cs="Times New Roman"/>
                                  <w:color w:val="000000"/>
                                  <w:sz w:val="20"/>
                                  <w:szCs w:val="20"/>
                                  <w:lang w:eastAsia="tr-TR"/>
                                </w:rPr>
                              </w:pPr>
                              <w:r w:rsidRPr="001576BC">
                                <w:rPr>
                                  <w:rFonts w:ascii="Verdana" w:eastAsia="Times New Roman" w:hAnsi="Verdana" w:cs="Times New Roman"/>
                                  <w:color w:val="000000"/>
                                  <w:sz w:val="20"/>
                                  <w:szCs w:val="20"/>
                                  <w:lang w:eastAsia="tr-TR"/>
                                </w:rPr>
                                <w:t>d) Karar: 20/10/1999 tarihli ve 99/13482 sayılı Bakanlar Kurulu Kararı ile yürürlüğe konulan İthalatta Haksız Rekabetin Önlenmesi Hakkında Kararı,</w:t>
                              </w:r>
                            </w:p>
                            <w:p w:rsidR="001576BC" w:rsidRPr="001576BC" w:rsidRDefault="001576BC" w:rsidP="001576BC">
                              <w:pPr>
                                <w:spacing w:after="0" w:line="240" w:lineRule="atLeast"/>
                                <w:ind w:firstLine="566"/>
                                <w:jc w:val="both"/>
                                <w:rPr>
                                  <w:rFonts w:ascii="Verdana" w:eastAsia="Times New Roman" w:hAnsi="Verdana" w:cs="Times New Roman"/>
                                  <w:color w:val="000000"/>
                                  <w:sz w:val="20"/>
                                  <w:szCs w:val="20"/>
                                  <w:lang w:eastAsia="tr-TR"/>
                                </w:rPr>
                              </w:pPr>
                              <w:r w:rsidRPr="001576BC">
                                <w:rPr>
                                  <w:rFonts w:ascii="Verdana" w:eastAsia="Times New Roman" w:hAnsi="Verdana" w:cs="Times New Roman"/>
                                  <w:color w:val="000000"/>
                                  <w:sz w:val="20"/>
                                  <w:szCs w:val="20"/>
                                  <w:lang w:eastAsia="tr-TR"/>
                                </w:rPr>
                                <w:t>e) TÜİK: Türkiye İstatistik Kurumunu,</w:t>
                              </w:r>
                            </w:p>
                            <w:p w:rsidR="001576BC" w:rsidRPr="001576BC" w:rsidRDefault="001576BC" w:rsidP="001576BC">
                              <w:pPr>
                                <w:spacing w:after="0" w:line="240" w:lineRule="atLeast"/>
                                <w:ind w:firstLine="566"/>
                                <w:jc w:val="both"/>
                                <w:rPr>
                                  <w:rFonts w:ascii="Verdana" w:eastAsia="Times New Roman" w:hAnsi="Verdana" w:cs="Times New Roman"/>
                                  <w:color w:val="000000"/>
                                  <w:sz w:val="20"/>
                                  <w:szCs w:val="20"/>
                                  <w:lang w:eastAsia="tr-TR"/>
                                </w:rPr>
                              </w:pPr>
                              <w:r w:rsidRPr="001576BC">
                                <w:rPr>
                                  <w:rFonts w:ascii="Verdana" w:eastAsia="Times New Roman" w:hAnsi="Verdana" w:cs="Times New Roman"/>
                                  <w:color w:val="000000"/>
                                  <w:sz w:val="20"/>
                                  <w:szCs w:val="20"/>
                                  <w:lang w:eastAsia="tr-TR"/>
                                </w:rPr>
                                <w:t>f) Yönetmelik: 30/10/1999 tarihli ve 23861 sayılı Resmî Gazete’de yayımlanan İthalatta Haksız Rekabetin Önlenmesi Hakkında Yönetmeliği,</w:t>
                              </w:r>
                            </w:p>
                            <w:p w:rsidR="001576BC" w:rsidRPr="001576BC" w:rsidRDefault="001576BC" w:rsidP="001576BC">
                              <w:pPr>
                                <w:spacing w:after="0" w:line="240" w:lineRule="atLeast"/>
                                <w:ind w:firstLine="566"/>
                                <w:jc w:val="both"/>
                                <w:rPr>
                                  <w:rFonts w:ascii="Verdana" w:eastAsia="Times New Roman" w:hAnsi="Verdana" w:cs="Times New Roman"/>
                                  <w:color w:val="000000"/>
                                  <w:sz w:val="20"/>
                                  <w:szCs w:val="20"/>
                                  <w:lang w:eastAsia="tr-TR"/>
                                </w:rPr>
                              </w:pPr>
                              <w:r w:rsidRPr="001576BC">
                                <w:rPr>
                                  <w:rFonts w:ascii="Verdana" w:eastAsia="Times New Roman" w:hAnsi="Verdana" w:cs="Times New Roman"/>
                                  <w:color w:val="000000"/>
                                  <w:sz w:val="20"/>
                                  <w:szCs w:val="20"/>
                                  <w:lang w:eastAsia="tr-TR"/>
                                </w:rPr>
                                <w:t>g) YÜD: Yerli üretim dalını,</w:t>
                              </w:r>
                            </w:p>
                            <w:p w:rsidR="001576BC" w:rsidRPr="001576BC" w:rsidRDefault="001576BC" w:rsidP="001576BC">
                              <w:pPr>
                                <w:spacing w:after="0" w:line="240" w:lineRule="atLeast"/>
                                <w:ind w:firstLine="566"/>
                                <w:jc w:val="both"/>
                                <w:rPr>
                                  <w:rFonts w:ascii="Verdana" w:eastAsia="Times New Roman" w:hAnsi="Verdana" w:cs="Times New Roman"/>
                                  <w:color w:val="000000"/>
                                  <w:sz w:val="20"/>
                                  <w:szCs w:val="20"/>
                                  <w:lang w:eastAsia="tr-TR"/>
                                </w:rPr>
                              </w:pPr>
                              <w:r w:rsidRPr="001576BC">
                                <w:rPr>
                                  <w:rFonts w:ascii="Verdana" w:eastAsia="Times New Roman" w:hAnsi="Verdana" w:cs="Times New Roman"/>
                                  <w:color w:val="000000"/>
                                  <w:sz w:val="20"/>
                                  <w:szCs w:val="20"/>
                                  <w:lang w:eastAsia="tr-TR"/>
                                </w:rPr>
                                <w:t>ifade eder.</w:t>
                              </w:r>
                            </w:p>
                            <w:p w:rsidR="001576BC" w:rsidRPr="001576BC" w:rsidRDefault="001576BC" w:rsidP="001576BC">
                              <w:pPr>
                                <w:spacing w:after="0" w:line="240" w:lineRule="atLeast"/>
                                <w:ind w:firstLine="566"/>
                                <w:jc w:val="both"/>
                                <w:rPr>
                                  <w:rFonts w:ascii="Verdana" w:eastAsia="Times New Roman" w:hAnsi="Verdana" w:cs="Times New Roman"/>
                                  <w:color w:val="000000"/>
                                  <w:sz w:val="20"/>
                                  <w:szCs w:val="20"/>
                                  <w:lang w:eastAsia="tr-TR"/>
                                </w:rPr>
                              </w:pPr>
                              <w:r w:rsidRPr="001576BC">
                                <w:rPr>
                                  <w:rFonts w:ascii="Verdana" w:eastAsia="Times New Roman" w:hAnsi="Verdana" w:cs="Times New Roman"/>
                                  <w:b/>
                                  <w:bCs/>
                                  <w:color w:val="000000"/>
                                  <w:sz w:val="20"/>
                                  <w:szCs w:val="20"/>
                                  <w:lang w:eastAsia="tr-TR"/>
                                </w:rPr>
                                <w:t>Başvuru konusu ürün</w:t>
                              </w:r>
                            </w:p>
                            <w:p w:rsidR="001576BC" w:rsidRPr="001576BC" w:rsidRDefault="001576BC" w:rsidP="001576BC">
                              <w:pPr>
                                <w:spacing w:after="0" w:line="240" w:lineRule="atLeast"/>
                                <w:ind w:firstLine="566"/>
                                <w:jc w:val="both"/>
                                <w:rPr>
                                  <w:rFonts w:ascii="Verdana" w:eastAsia="Times New Roman" w:hAnsi="Verdana" w:cs="Times New Roman"/>
                                  <w:color w:val="000000"/>
                                  <w:sz w:val="20"/>
                                  <w:szCs w:val="20"/>
                                  <w:lang w:eastAsia="tr-TR"/>
                                </w:rPr>
                              </w:pPr>
                              <w:r w:rsidRPr="001576BC">
                                <w:rPr>
                                  <w:rFonts w:ascii="Verdana" w:eastAsia="Times New Roman" w:hAnsi="Verdana" w:cs="Times New Roman"/>
                                  <w:b/>
                                  <w:bCs/>
                                  <w:color w:val="000000"/>
                                  <w:sz w:val="20"/>
                                  <w:szCs w:val="20"/>
                                  <w:lang w:eastAsia="tr-TR"/>
                                </w:rPr>
                                <w:t>MADDE 4 – </w:t>
                              </w:r>
                              <w:r w:rsidRPr="001576BC">
                                <w:rPr>
                                  <w:rFonts w:ascii="Verdana" w:eastAsia="Times New Roman" w:hAnsi="Verdana" w:cs="Times New Roman"/>
                                  <w:color w:val="000000"/>
                                  <w:sz w:val="20"/>
                                  <w:szCs w:val="20"/>
                                  <w:lang w:eastAsia="tr-TR"/>
                                </w:rPr>
                                <w:t>(1) Başvuru konusu ürün 6911.10.00.00.11, 6911.10.00.00.12, 6911.10.00.00.19, 6912.00.21.00.00, 6912.00.23.00.00, 6912.00.25.00.11, 6912.00.25.00.12, 6912.00.25.00.19 ve 6912.00.29.00.00 GTİP altında kayıtlı “porselenden ve seramikten sofra ve mutfak eşyası”dır.</w:t>
                              </w:r>
                            </w:p>
                            <w:p w:rsidR="001576BC" w:rsidRPr="001576BC" w:rsidRDefault="001576BC" w:rsidP="001576BC">
                              <w:pPr>
                                <w:spacing w:after="0" w:line="240" w:lineRule="atLeast"/>
                                <w:ind w:firstLine="566"/>
                                <w:jc w:val="both"/>
                                <w:rPr>
                                  <w:rFonts w:ascii="Verdana" w:eastAsia="Times New Roman" w:hAnsi="Verdana" w:cs="Times New Roman"/>
                                  <w:color w:val="000000"/>
                                  <w:sz w:val="20"/>
                                  <w:szCs w:val="20"/>
                                  <w:lang w:eastAsia="tr-TR"/>
                                </w:rPr>
                              </w:pPr>
                              <w:r w:rsidRPr="001576BC">
                                <w:rPr>
                                  <w:rFonts w:ascii="Verdana" w:eastAsia="Times New Roman" w:hAnsi="Verdana" w:cs="Times New Roman"/>
                                  <w:color w:val="000000"/>
                                  <w:sz w:val="20"/>
                                  <w:szCs w:val="20"/>
                                  <w:lang w:eastAsia="tr-TR"/>
                                </w:rPr>
                                <w:t>(2) Bahse konu GTİP’ler, bilgi amaçlı verilmiş olup bağlayıcı mahiyette değildir.</w:t>
                              </w:r>
                            </w:p>
                            <w:p w:rsidR="001576BC" w:rsidRPr="001576BC" w:rsidRDefault="001576BC" w:rsidP="001576BC">
                              <w:pPr>
                                <w:spacing w:after="0" w:line="240" w:lineRule="atLeast"/>
                                <w:ind w:firstLine="566"/>
                                <w:jc w:val="both"/>
                                <w:rPr>
                                  <w:rFonts w:ascii="Verdana" w:eastAsia="Times New Roman" w:hAnsi="Verdana" w:cs="Times New Roman"/>
                                  <w:color w:val="000000"/>
                                  <w:sz w:val="20"/>
                                  <w:szCs w:val="20"/>
                                  <w:lang w:eastAsia="tr-TR"/>
                                </w:rPr>
                              </w:pPr>
                              <w:r w:rsidRPr="001576BC">
                                <w:rPr>
                                  <w:rFonts w:ascii="Verdana" w:eastAsia="Times New Roman" w:hAnsi="Verdana" w:cs="Times New Roman"/>
                                  <w:color w:val="000000"/>
                                  <w:sz w:val="20"/>
                                  <w:szCs w:val="20"/>
                                  <w:lang w:eastAsia="tr-TR"/>
                                </w:rPr>
                                <w:t>(3) Başvuru konusu ürünün Türk Gümrük Tarife Cetvelinde yer alan tarife pozisyonunda ve/veya eşya tanımında yapılacak değişiklikler bu Tebliğ hükümlerinin uygulanmasına engel teşkil etmez.</w:t>
                              </w:r>
                            </w:p>
                            <w:p w:rsidR="001576BC" w:rsidRPr="001576BC" w:rsidRDefault="001576BC" w:rsidP="001576BC">
                              <w:pPr>
                                <w:spacing w:after="0" w:line="240" w:lineRule="atLeast"/>
                                <w:ind w:firstLine="566"/>
                                <w:jc w:val="both"/>
                                <w:rPr>
                                  <w:rFonts w:ascii="Verdana" w:eastAsia="Times New Roman" w:hAnsi="Verdana" w:cs="Times New Roman"/>
                                  <w:color w:val="000000"/>
                                  <w:sz w:val="20"/>
                                  <w:szCs w:val="20"/>
                                  <w:lang w:eastAsia="tr-TR"/>
                                </w:rPr>
                              </w:pPr>
                              <w:r w:rsidRPr="001576BC">
                                <w:rPr>
                                  <w:rFonts w:ascii="Verdana" w:eastAsia="Times New Roman" w:hAnsi="Verdana" w:cs="Times New Roman"/>
                                  <w:b/>
                                  <w:bCs/>
                                  <w:color w:val="000000"/>
                                  <w:sz w:val="20"/>
                                  <w:szCs w:val="20"/>
                                  <w:lang w:eastAsia="tr-TR"/>
                                </w:rPr>
                                <w:t>Başvurunun temsil niteliği</w:t>
                              </w:r>
                            </w:p>
                            <w:p w:rsidR="001576BC" w:rsidRPr="001576BC" w:rsidRDefault="001576BC" w:rsidP="001576BC">
                              <w:pPr>
                                <w:spacing w:after="0" w:line="240" w:lineRule="atLeast"/>
                                <w:ind w:firstLine="566"/>
                                <w:jc w:val="both"/>
                                <w:rPr>
                                  <w:rFonts w:ascii="Verdana" w:eastAsia="Times New Roman" w:hAnsi="Verdana" w:cs="Times New Roman"/>
                                  <w:color w:val="000000"/>
                                  <w:sz w:val="20"/>
                                  <w:szCs w:val="20"/>
                                  <w:lang w:eastAsia="tr-TR"/>
                                </w:rPr>
                              </w:pPr>
                              <w:r w:rsidRPr="001576BC">
                                <w:rPr>
                                  <w:rFonts w:ascii="Verdana" w:eastAsia="Times New Roman" w:hAnsi="Verdana" w:cs="Times New Roman"/>
                                  <w:b/>
                                  <w:bCs/>
                                  <w:color w:val="000000"/>
                                  <w:sz w:val="20"/>
                                  <w:szCs w:val="20"/>
                                  <w:lang w:eastAsia="tr-TR"/>
                                </w:rPr>
                                <w:t>MADDE 5 –</w:t>
                              </w:r>
                              <w:r w:rsidRPr="001576BC">
                                <w:rPr>
                                  <w:rFonts w:ascii="Verdana" w:eastAsia="Times New Roman" w:hAnsi="Verdana" w:cs="Times New Roman"/>
                                  <w:color w:val="000000"/>
                                  <w:sz w:val="20"/>
                                  <w:szCs w:val="20"/>
                                  <w:lang w:eastAsia="tr-TR"/>
                                </w:rPr>
                                <w:t> (1) Başvuru aşamasında sunulan delillerden, Yönetmeliğin 20 nci maddesi çerçevesinde başvuru yeterliliğine sahip olan yerli üreticilerin Yönetmeliğin 18 inci maddesi çerçevesinde yerli üretim dalını temsil niteliğini haiz olduğu anlaşılmıştır. Bu kapsamda,  Kütahya Porselen Sanayi A.Ş. ve Heriş Seramik ve Turizm Sanayi A.Ş. bu Tebliğin ilgili bölümlerinde YÜD olarak anılacaktır.</w:t>
                              </w:r>
                            </w:p>
                            <w:p w:rsidR="001576BC" w:rsidRPr="001576BC" w:rsidRDefault="001576BC" w:rsidP="001576BC">
                              <w:pPr>
                                <w:spacing w:after="0" w:line="240" w:lineRule="atLeast"/>
                                <w:ind w:firstLine="566"/>
                                <w:jc w:val="both"/>
                                <w:rPr>
                                  <w:rFonts w:ascii="Verdana" w:eastAsia="Times New Roman" w:hAnsi="Verdana" w:cs="Times New Roman"/>
                                  <w:color w:val="000000"/>
                                  <w:sz w:val="20"/>
                                  <w:szCs w:val="20"/>
                                  <w:lang w:eastAsia="tr-TR"/>
                                </w:rPr>
                              </w:pPr>
                              <w:r w:rsidRPr="001576BC">
                                <w:rPr>
                                  <w:rFonts w:ascii="Verdana" w:eastAsia="Times New Roman" w:hAnsi="Verdana" w:cs="Times New Roman"/>
                                  <w:b/>
                                  <w:bCs/>
                                  <w:color w:val="000000"/>
                                  <w:sz w:val="20"/>
                                  <w:szCs w:val="20"/>
                                  <w:lang w:eastAsia="tr-TR"/>
                                </w:rPr>
                                <w:t>Damping iddiası</w:t>
                              </w:r>
                            </w:p>
                            <w:p w:rsidR="001576BC" w:rsidRPr="001576BC" w:rsidRDefault="001576BC" w:rsidP="001576BC">
                              <w:pPr>
                                <w:spacing w:after="0" w:line="240" w:lineRule="atLeast"/>
                                <w:ind w:firstLine="566"/>
                                <w:jc w:val="both"/>
                                <w:rPr>
                                  <w:rFonts w:ascii="Verdana" w:eastAsia="Times New Roman" w:hAnsi="Verdana" w:cs="Times New Roman"/>
                                  <w:color w:val="000000"/>
                                  <w:sz w:val="20"/>
                                  <w:szCs w:val="20"/>
                                  <w:lang w:eastAsia="tr-TR"/>
                                </w:rPr>
                              </w:pPr>
                              <w:r w:rsidRPr="001576BC">
                                <w:rPr>
                                  <w:rFonts w:ascii="Verdana" w:eastAsia="Times New Roman" w:hAnsi="Verdana" w:cs="Times New Roman"/>
                                  <w:b/>
                                  <w:bCs/>
                                  <w:color w:val="000000"/>
                                  <w:sz w:val="20"/>
                                  <w:szCs w:val="20"/>
                                  <w:lang w:eastAsia="tr-TR"/>
                                </w:rPr>
                                <w:t>MADDE 6 –</w:t>
                              </w:r>
                              <w:r w:rsidRPr="001576BC">
                                <w:rPr>
                                  <w:rFonts w:ascii="Verdana" w:eastAsia="Times New Roman" w:hAnsi="Verdana" w:cs="Times New Roman"/>
                                  <w:color w:val="000000"/>
                                  <w:sz w:val="20"/>
                                  <w:szCs w:val="20"/>
                                  <w:lang w:eastAsia="tr-TR"/>
                                </w:rPr>
                                <w:t> (1) Şikâyete konu ülke olan Çin Halk Cumhuriyeti’nin iç piyasa satışlarına ilişkin veri bulunamadığından YÜD tarafından 2015 yılı için şikâyete konu ürünün üretiminde kullanılan hammaddelerin birim maliyetlerine, direkt işçilik, yardımcı madde, dolaylı işçilik, enerji, paketleme, amortisman gibi genel üretim giderleri ve satış ve genel idari giderler ile finansman giderleri eklenmiş ve elde edilen bu rakama makul bir kâr oranı ilave edilerek oluşturulmuş normal değer hesaplanmıştır. Söz konusu değerin fabrika çıkış aşamasında olduğu kabul edilmiştir.</w:t>
                              </w:r>
                            </w:p>
                            <w:p w:rsidR="001576BC" w:rsidRPr="001576BC" w:rsidRDefault="001576BC" w:rsidP="001576BC">
                              <w:pPr>
                                <w:spacing w:after="0" w:line="240" w:lineRule="atLeast"/>
                                <w:ind w:firstLine="566"/>
                                <w:jc w:val="both"/>
                                <w:rPr>
                                  <w:rFonts w:ascii="Verdana" w:eastAsia="Times New Roman" w:hAnsi="Verdana" w:cs="Times New Roman"/>
                                  <w:color w:val="000000"/>
                                  <w:sz w:val="20"/>
                                  <w:szCs w:val="20"/>
                                  <w:lang w:eastAsia="tr-TR"/>
                                </w:rPr>
                              </w:pPr>
                              <w:r w:rsidRPr="001576BC">
                                <w:rPr>
                                  <w:rFonts w:ascii="Verdana" w:eastAsia="Times New Roman" w:hAnsi="Verdana" w:cs="Times New Roman"/>
                                  <w:color w:val="000000"/>
                                  <w:sz w:val="20"/>
                                  <w:szCs w:val="20"/>
                                  <w:lang w:eastAsia="tr-TR"/>
                                </w:rPr>
                                <w:t xml:space="preserve">(2) İhraç değerinin tespitinde, TÜİK’in 2015 yılına ait şikâyet konusu ürünün </w:t>
                              </w:r>
                              <w:r w:rsidRPr="001576BC">
                                <w:rPr>
                                  <w:rFonts w:ascii="Verdana" w:eastAsia="Times New Roman" w:hAnsi="Verdana" w:cs="Times New Roman"/>
                                  <w:color w:val="000000"/>
                                  <w:sz w:val="20"/>
                                  <w:szCs w:val="20"/>
                                  <w:lang w:eastAsia="tr-TR"/>
                                </w:rPr>
                                <w:lastRenderedPageBreak/>
                                <w:t>şikâyet konusu ülkeden gerçekleşen ithalatında oluşan ağırlıklı ortalama ihraç fiyatı dikkate alınmıştır. Söz konusu ihraç fiyatından harici navlun, sigorta ve dâhili navlun bedelleri düşürülerek fiyat fabrika çıkış aşamasına getirilmiştir.</w:t>
                              </w:r>
                            </w:p>
                            <w:p w:rsidR="001576BC" w:rsidRPr="001576BC" w:rsidRDefault="001576BC" w:rsidP="001576BC">
                              <w:pPr>
                                <w:spacing w:after="0" w:line="240" w:lineRule="atLeast"/>
                                <w:ind w:firstLine="566"/>
                                <w:jc w:val="both"/>
                                <w:rPr>
                                  <w:rFonts w:ascii="Verdana" w:eastAsia="Times New Roman" w:hAnsi="Verdana" w:cs="Times New Roman"/>
                                  <w:color w:val="000000"/>
                                  <w:sz w:val="20"/>
                                  <w:szCs w:val="20"/>
                                  <w:lang w:eastAsia="tr-TR"/>
                                </w:rPr>
                              </w:pPr>
                              <w:r w:rsidRPr="001576BC">
                                <w:rPr>
                                  <w:rFonts w:ascii="Verdana" w:eastAsia="Times New Roman" w:hAnsi="Verdana" w:cs="Times New Roman"/>
                                  <w:color w:val="000000"/>
                                  <w:sz w:val="20"/>
                                  <w:szCs w:val="20"/>
                                  <w:lang w:eastAsia="tr-TR"/>
                                </w:rPr>
                                <w:t>(3) Bu maddede açıklandığı şekilde tespit edilen normal değer ile Türkiye’ye ihraç fiyatı mümkün olduğu ölçüde aynı ticari aşamada yani fabrika çıkış aşamasında karşılaştırılmış olup şikâyete konu ülke menşeli ürün için hesaplanandamping marjının Yönetmeliğin 28 inci maddesinde zikredilen ihmal edilebilir oranın üzerinde olduğu görülmüştür.</w:t>
                              </w:r>
                            </w:p>
                            <w:p w:rsidR="001576BC" w:rsidRPr="001576BC" w:rsidRDefault="001576BC" w:rsidP="001576BC">
                              <w:pPr>
                                <w:spacing w:after="0" w:line="240" w:lineRule="atLeast"/>
                                <w:ind w:firstLine="566"/>
                                <w:jc w:val="both"/>
                                <w:rPr>
                                  <w:rFonts w:ascii="Verdana" w:eastAsia="Times New Roman" w:hAnsi="Verdana" w:cs="Times New Roman"/>
                                  <w:color w:val="000000"/>
                                  <w:sz w:val="20"/>
                                  <w:szCs w:val="20"/>
                                  <w:lang w:eastAsia="tr-TR"/>
                                </w:rPr>
                              </w:pPr>
                              <w:r w:rsidRPr="001576BC">
                                <w:rPr>
                                  <w:rFonts w:ascii="Verdana" w:eastAsia="Times New Roman" w:hAnsi="Verdana" w:cs="Times New Roman"/>
                                  <w:b/>
                                  <w:bCs/>
                                  <w:color w:val="000000"/>
                                  <w:sz w:val="20"/>
                                  <w:szCs w:val="20"/>
                                  <w:lang w:eastAsia="tr-TR"/>
                                </w:rPr>
                                <w:t>Zarar ve nedensellik iddiası</w:t>
                              </w:r>
                            </w:p>
                            <w:p w:rsidR="001576BC" w:rsidRPr="001576BC" w:rsidRDefault="001576BC" w:rsidP="001576BC">
                              <w:pPr>
                                <w:spacing w:after="0" w:line="240" w:lineRule="atLeast"/>
                                <w:ind w:firstLine="566"/>
                                <w:jc w:val="both"/>
                                <w:rPr>
                                  <w:rFonts w:ascii="Verdana" w:eastAsia="Times New Roman" w:hAnsi="Verdana" w:cs="Times New Roman"/>
                                  <w:color w:val="000000"/>
                                  <w:sz w:val="20"/>
                                  <w:szCs w:val="20"/>
                                  <w:lang w:eastAsia="tr-TR"/>
                                </w:rPr>
                              </w:pPr>
                              <w:r w:rsidRPr="001576BC">
                                <w:rPr>
                                  <w:rFonts w:ascii="Verdana" w:eastAsia="Times New Roman" w:hAnsi="Verdana" w:cs="Times New Roman"/>
                                  <w:b/>
                                  <w:bCs/>
                                  <w:color w:val="000000"/>
                                  <w:sz w:val="20"/>
                                  <w:szCs w:val="20"/>
                                  <w:lang w:eastAsia="tr-TR"/>
                                </w:rPr>
                                <w:t>MADDE 7 –</w:t>
                              </w:r>
                              <w:r w:rsidRPr="001576BC">
                                <w:rPr>
                                  <w:rFonts w:ascii="Verdana" w:eastAsia="Times New Roman" w:hAnsi="Verdana" w:cs="Times New Roman"/>
                                  <w:color w:val="000000"/>
                                  <w:sz w:val="20"/>
                                  <w:szCs w:val="20"/>
                                  <w:lang w:eastAsia="tr-TR"/>
                                </w:rPr>
                                <w:t> (1) Yönetmeliğin 17 nci maddesi çerçevesinde zarar iddiasının incelenmesi amacıyla şikâyet konusu ülkeden gerçekleşen ithalatın miktar temelindeki seyri, Çin Halk Cumhuriyeti menşeli ithalatın pazar payının gelişimi ve YÜD’ün iç satış fiyatlarını nasıl etkilediği ve YÜD’ün ekonomik göstergelerinin durumu değerlendirilmiştir.</w:t>
                              </w:r>
                            </w:p>
                            <w:p w:rsidR="001576BC" w:rsidRPr="001576BC" w:rsidRDefault="001576BC" w:rsidP="001576BC">
                              <w:pPr>
                                <w:spacing w:after="0" w:line="240" w:lineRule="atLeast"/>
                                <w:ind w:firstLine="566"/>
                                <w:jc w:val="both"/>
                                <w:rPr>
                                  <w:rFonts w:ascii="Verdana" w:eastAsia="Times New Roman" w:hAnsi="Verdana" w:cs="Times New Roman"/>
                                  <w:color w:val="000000"/>
                                  <w:sz w:val="20"/>
                                  <w:szCs w:val="20"/>
                                  <w:lang w:eastAsia="tr-TR"/>
                                </w:rPr>
                              </w:pPr>
                              <w:r w:rsidRPr="001576BC">
                                <w:rPr>
                                  <w:rFonts w:ascii="Verdana" w:eastAsia="Times New Roman" w:hAnsi="Verdana" w:cs="Times New Roman"/>
                                  <w:color w:val="000000"/>
                                  <w:sz w:val="20"/>
                                  <w:szCs w:val="20"/>
                                  <w:lang w:eastAsia="tr-TR"/>
                                </w:rPr>
                                <w:t>(2) Çin Halk Cumhuriyeti menşeli şikâyet konusu ürünün ithalatının hem mutlak olarak hem de toplam ithalat içerisindeki payının 2013-2015 dönemi arasında ciddi oranda yükseldiği; aynı zamanda Çin Halk Cumhuriyeti menşeli ithalatın anılan dönem itibarıyla pazar payının da arttığı tespit edilmiştir.</w:t>
                              </w:r>
                            </w:p>
                            <w:p w:rsidR="001576BC" w:rsidRPr="001576BC" w:rsidRDefault="001576BC" w:rsidP="001576BC">
                              <w:pPr>
                                <w:spacing w:after="0" w:line="240" w:lineRule="atLeast"/>
                                <w:ind w:firstLine="566"/>
                                <w:jc w:val="both"/>
                                <w:rPr>
                                  <w:rFonts w:ascii="Verdana" w:eastAsia="Times New Roman" w:hAnsi="Verdana" w:cs="Times New Roman"/>
                                  <w:color w:val="000000"/>
                                  <w:sz w:val="20"/>
                                  <w:szCs w:val="20"/>
                                  <w:lang w:eastAsia="tr-TR"/>
                                </w:rPr>
                              </w:pPr>
                              <w:r w:rsidRPr="001576BC">
                                <w:rPr>
                                  <w:rFonts w:ascii="Verdana" w:eastAsia="Times New Roman" w:hAnsi="Verdana" w:cs="Times New Roman"/>
                                  <w:color w:val="000000"/>
                                  <w:sz w:val="20"/>
                                  <w:szCs w:val="20"/>
                                  <w:lang w:eastAsia="tr-TR"/>
                                </w:rPr>
                                <w:t>(3) Çin Halk Cumhuriyeti menşeli ithalatın YÜD’ün fiyatlarını 2015 yılında belli bir seviyede baskı altında tuttuğu tespit edilmiştir.</w:t>
                              </w:r>
                            </w:p>
                            <w:p w:rsidR="001576BC" w:rsidRPr="001576BC" w:rsidRDefault="001576BC" w:rsidP="001576BC">
                              <w:pPr>
                                <w:spacing w:after="0" w:line="240" w:lineRule="atLeast"/>
                                <w:ind w:firstLine="566"/>
                                <w:jc w:val="both"/>
                                <w:rPr>
                                  <w:rFonts w:ascii="Verdana" w:eastAsia="Times New Roman" w:hAnsi="Verdana" w:cs="Times New Roman"/>
                                  <w:color w:val="000000"/>
                                  <w:sz w:val="20"/>
                                  <w:szCs w:val="20"/>
                                  <w:lang w:eastAsia="tr-TR"/>
                                </w:rPr>
                              </w:pPr>
                              <w:r w:rsidRPr="001576BC">
                                <w:rPr>
                                  <w:rFonts w:ascii="Verdana" w:eastAsia="Times New Roman" w:hAnsi="Verdana" w:cs="Times New Roman"/>
                                  <w:color w:val="000000"/>
                                  <w:sz w:val="20"/>
                                  <w:szCs w:val="20"/>
                                  <w:lang w:eastAsia="tr-TR"/>
                                </w:rPr>
                                <w:t>(4) YÜD’ün şikâyet konusu ürüne ilişkin kârlılık, stoklar, pazar payı ve ürün nakit akışı gibi temel ekonomik göstergelerinde olumsuzluklar tespit edilmiştir.</w:t>
                              </w:r>
                            </w:p>
                            <w:p w:rsidR="001576BC" w:rsidRPr="001576BC" w:rsidRDefault="001576BC" w:rsidP="001576BC">
                              <w:pPr>
                                <w:spacing w:after="0" w:line="240" w:lineRule="atLeast"/>
                                <w:ind w:firstLine="566"/>
                                <w:jc w:val="both"/>
                                <w:rPr>
                                  <w:rFonts w:ascii="Verdana" w:eastAsia="Times New Roman" w:hAnsi="Verdana" w:cs="Times New Roman"/>
                                  <w:color w:val="000000"/>
                                  <w:sz w:val="20"/>
                                  <w:szCs w:val="20"/>
                                  <w:lang w:eastAsia="tr-TR"/>
                                </w:rPr>
                              </w:pPr>
                              <w:r w:rsidRPr="001576BC">
                                <w:rPr>
                                  <w:rFonts w:ascii="Verdana" w:eastAsia="Times New Roman" w:hAnsi="Verdana" w:cs="Times New Roman"/>
                                  <w:color w:val="000000"/>
                                  <w:sz w:val="20"/>
                                  <w:szCs w:val="20"/>
                                  <w:lang w:eastAsia="tr-TR"/>
                                </w:rPr>
                                <w:t>(5) Başvuru aşamasında sunulan deliller ve ithalata ilişkin resmî istatistikler esas alınarak yapılan tespitler ışığında, dampingli olduğu iddia edilen ithalatın YÜD’de zarara yol açtığı değerlendirilmiştir.</w:t>
                              </w:r>
                            </w:p>
                            <w:p w:rsidR="001576BC" w:rsidRPr="001576BC" w:rsidRDefault="001576BC" w:rsidP="001576BC">
                              <w:pPr>
                                <w:spacing w:after="0" w:line="240" w:lineRule="atLeast"/>
                                <w:ind w:firstLine="566"/>
                                <w:jc w:val="both"/>
                                <w:rPr>
                                  <w:rFonts w:ascii="Verdana" w:eastAsia="Times New Roman" w:hAnsi="Verdana" w:cs="Times New Roman"/>
                                  <w:color w:val="000000"/>
                                  <w:sz w:val="20"/>
                                  <w:szCs w:val="20"/>
                                  <w:lang w:eastAsia="tr-TR"/>
                                </w:rPr>
                              </w:pPr>
                              <w:r w:rsidRPr="001576BC">
                                <w:rPr>
                                  <w:rFonts w:ascii="Verdana" w:eastAsia="Times New Roman" w:hAnsi="Verdana" w:cs="Times New Roman"/>
                                  <w:b/>
                                  <w:bCs/>
                                  <w:color w:val="000000"/>
                                  <w:sz w:val="20"/>
                                  <w:szCs w:val="20"/>
                                  <w:lang w:eastAsia="tr-TR"/>
                                </w:rPr>
                                <w:t>Karar ve işlemler</w:t>
                              </w:r>
                            </w:p>
                            <w:p w:rsidR="001576BC" w:rsidRPr="001576BC" w:rsidRDefault="001576BC" w:rsidP="001576BC">
                              <w:pPr>
                                <w:spacing w:after="0" w:line="240" w:lineRule="atLeast"/>
                                <w:ind w:firstLine="566"/>
                                <w:jc w:val="both"/>
                                <w:rPr>
                                  <w:rFonts w:ascii="Verdana" w:eastAsia="Times New Roman" w:hAnsi="Verdana" w:cs="Times New Roman"/>
                                  <w:color w:val="000000"/>
                                  <w:sz w:val="20"/>
                                  <w:szCs w:val="20"/>
                                  <w:lang w:eastAsia="tr-TR"/>
                                </w:rPr>
                              </w:pPr>
                              <w:r w:rsidRPr="001576BC">
                                <w:rPr>
                                  <w:rFonts w:ascii="Verdana" w:eastAsia="Times New Roman" w:hAnsi="Verdana" w:cs="Times New Roman"/>
                                  <w:b/>
                                  <w:bCs/>
                                  <w:color w:val="000000"/>
                                  <w:sz w:val="20"/>
                                  <w:szCs w:val="20"/>
                                  <w:lang w:eastAsia="tr-TR"/>
                                </w:rPr>
                                <w:t>MADDE 8 –</w:t>
                              </w:r>
                              <w:r w:rsidRPr="001576BC">
                                <w:rPr>
                                  <w:rFonts w:ascii="Verdana" w:eastAsia="Times New Roman" w:hAnsi="Verdana" w:cs="Times New Roman"/>
                                  <w:color w:val="000000"/>
                                  <w:sz w:val="20"/>
                                  <w:szCs w:val="20"/>
                                  <w:lang w:eastAsia="tr-TR"/>
                                </w:rPr>
                                <w:t> (1) Yönetmeliğin 20 nci maddesi çerçevesinde bir damping soruşturmasının açılabilmesi için başvuruda yeterli bilgi, belge ve delillerin bulunduğu anlaşıldığından, İthalatta Haksız Rekabeti Değerlendirme Kurulu tarafından Çin Halk Cumhuriyeti menşeli 6911.10.00.00.11, 6911.10.00.00.12, 6911.10.00.00.19, 6912.00.21.00.00, 6912.00.23.00.00, 6912.00.25.00.11, 6912.00.25.00.12, 6912.00.25.00.19 ve 6912.00.29.00.00 GTİP’i altında kayıtlı “porselen ve seramikten sofra ve mutfak eşyası” ürününe yönelik olarak bir damping soruşturması açılmasına karar verilmiştir.</w:t>
                              </w:r>
                            </w:p>
                            <w:p w:rsidR="001576BC" w:rsidRPr="001576BC" w:rsidRDefault="001576BC" w:rsidP="001576BC">
                              <w:pPr>
                                <w:spacing w:after="0" w:line="240" w:lineRule="atLeast"/>
                                <w:ind w:firstLine="566"/>
                                <w:jc w:val="both"/>
                                <w:rPr>
                                  <w:rFonts w:ascii="Verdana" w:eastAsia="Times New Roman" w:hAnsi="Verdana" w:cs="Times New Roman"/>
                                  <w:color w:val="000000"/>
                                  <w:sz w:val="20"/>
                                  <w:szCs w:val="20"/>
                                  <w:lang w:eastAsia="tr-TR"/>
                                </w:rPr>
                              </w:pPr>
                              <w:r w:rsidRPr="001576BC">
                                <w:rPr>
                                  <w:rFonts w:ascii="Verdana" w:eastAsia="Times New Roman" w:hAnsi="Verdana" w:cs="Times New Roman"/>
                                  <w:color w:val="000000"/>
                                  <w:sz w:val="20"/>
                                  <w:szCs w:val="20"/>
                                  <w:lang w:eastAsia="tr-TR"/>
                                </w:rPr>
                                <w:t>(2) Soruşturma, Genel Müdürlük tarafından yürütülür. </w:t>
                              </w:r>
                            </w:p>
                            <w:p w:rsidR="001576BC" w:rsidRPr="001576BC" w:rsidRDefault="001576BC" w:rsidP="001576BC">
                              <w:pPr>
                                <w:spacing w:after="0" w:line="240" w:lineRule="atLeast"/>
                                <w:ind w:firstLine="566"/>
                                <w:jc w:val="both"/>
                                <w:rPr>
                                  <w:rFonts w:ascii="Verdana" w:eastAsia="Times New Roman" w:hAnsi="Verdana" w:cs="Times New Roman"/>
                                  <w:color w:val="000000"/>
                                  <w:sz w:val="20"/>
                                  <w:szCs w:val="20"/>
                                  <w:lang w:eastAsia="tr-TR"/>
                                </w:rPr>
                              </w:pPr>
                              <w:r w:rsidRPr="001576BC">
                                <w:rPr>
                                  <w:rFonts w:ascii="Verdana" w:eastAsia="Times New Roman" w:hAnsi="Verdana" w:cs="Times New Roman"/>
                                  <w:b/>
                                  <w:bCs/>
                                  <w:color w:val="000000"/>
                                  <w:sz w:val="20"/>
                                  <w:szCs w:val="20"/>
                                  <w:lang w:eastAsia="tr-TR"/>
                                </w:rPr>
                                <w:t>Soru formları ve bilgilerin toplanması</w:t>
                              </w:r>
                            </w:p>
                            <w:p w:rsidR="001576BC" w:rsidRPr="001576BC" w:rsidRDefault="001576BC" w:rsidP="001576BC">
                              <w:pPr>
                                <w:spacing w:after="0" w:line="240" w:lineRule="atLeast"/>
                                <w:ind w:firstLine="566"/>
                                <w:jc w:val="both"/>
                                <w:rPr>
                                  <w:rFonts w:ascii="Verdana" w:eastAsia="Times New Roman" w:hAnsi="Verdana" w:cs="Times New Roman"/>
                                  <w:color w:val="000000"/>
                                  <w:sz w:val="20"/>
                                  <w:szCs w:val="20"/>
                                  <w:lang w:eastAsia="tr-TR"/>
                                </w:rPr>
                              </w:pPr>
                              <w:r w:rsidRPr="001576BC">
                                <w:rPr>
                                  <w:rFonts w:ascii="Verdana" w:eastAsia="Times New Roman" w:hAnsi="Verdana" w:cs="Times New Roman"/>
                                  <w:b/>
                                  <w:bCs/>
                                  <w:color w:val="000000"/>
                                  <w:sz w:val="20"/>
                                  <w:szCs w:val="20"/>
                                  <w:lang w:eastAsia="tr-TR"/>
                                </w:rPr>
                                <w:t>MADDE 9 –</w:t>
                              </w:r>
                              <w:r w:rsidRPr="001576BC">
                                <w:rPr>
                                  <w:rFonts w:ascii="Verdana" w:eastAsia="Times New Roman" w:hAnsi="Verdana" w:cs="Times New Roman"/>
                                  <w:color w:val="000000"/>
                                  <w:sz w:val="20"/>
                                  <w:szCs w:val="20"/>
                                  <w:lang w:eastAsia="tr-TR"/>
                                </w:rPr>
                                <w:t> (1) Soruşturma açılmasını müteakip, başvuruda belirtilen ve Bakanlıkça tespit edilen soruşturmaya konu ürünün ithalatçılarına, soruşturma konusu ülkede yerleşik bilinen üreticilerine/ihracatçılarına ve soruşturmaya konu ülkenin Ankara’daki Büyükelçiliğine bildirimde bulunulur.</w:t>
                              </w:r>
                            </w:p>
                            <w:p w:rsidR="001576BC" w:rsidRPr="001576BC" w:rsidRDefault="001576BC" w:rsidP="001576BC">
                              <w:pPr>
                                <w:spacing w:after="0" w:line="240" w:lineRule="atLeast"/>
                                <w:ind w:firstLine="566"/>
                                <w:jc w:val="both"/>
                                <w:rPr>
                                  <w:rFonts w:ascii="Verdana" w:eastAsia="Times New Roman" w:hAnsi="Verdana" w:cs="Times New Roman"/>
                                  <w:color w:val="000000"/>
                                  <w:sz w:val="20"/>
                                  <w:szCs w:val="20"/>
                                  <w:lang w:eastAsia="tr-TR"/>
                                </w:rPr>
                              </w:pPr>
                              <w:r w:rsidRPr="001576BC">
                                <w:rPr>
                                  <w:rFonts w:ascii="Verdana" w:eastAsia="Times New Roman" w:hAnsi="Verdana" w:cs="Times New Roman"/>
                                  <w:color w:val="000000"/>
                                  <w:sz w:val="20"/>
                                  <w:szCs w:val="20"/>
                                  <w:lang w:eastAsia="tr-TR"/>
                                </w:rPr>
                                <w:t>(2) Bildirimde, soruşturma açılış Tebliğine, başvurunun gizli olmayan özetine ve soru formlarına nasıl erişileceği hususunda bilgi verilir.</w:t>
                              </w:r>
                            </w:p>
                            <w:p w:rsidR="001576BC" w:rsidRPr="001576BC" w:rsidRDefault="001576BC" w:rsidP="001576BC">
                              <w:pPr>
                                <w:spacing w:after="0" w:line="240" w:lineRule="atLeast"/>
                                <w:ind w:firstLine="566"/>
                                <w:jc w:val="both"/>
                                <w:rPr>
                                  <w:rFonts w:ascii="Verdana" w:eastAsia="Times New Roman" w:hAnsi="Verdana" w:cs="Times New Roman"/>
                                  <w:color w:val="000000"/>
                                  <w:sz w:val="20"/>
                                  <w:szCs w:val="20"/>
                                  <w:lang w:eastAsia="tr-TR"/>
                                </w:rPr>
                              </w:pPr>
                              <w:r w:rsidRPr="001576BC">
                                <w:rPr>
                                  <w:rFonts w:ascii="Verdana" w:eastAsia="Times New Roman" w:hAnsi="Verdana" w:cs="Times New Roman"/>
                                  <w:color w:val="000000"/>
                                  <w:sz w:val="20"/>
                                  <w:szCs w:val="20"/>
                                  <w:lang w:eastAsia="tr-TR"/>
                                </w:rPr>
                                <w:t>(3) Bakanlıkça tespit edilememesi nedeniyle bildirim gönderilemeyen veya kendilerine bildirim ulaşmayan diğer ilgili tarafların soru formuna Bakanlığa ait internet sayfasındaki ilgili bölümden erişmeleri mümkün bulunmaktadır.</w:t>
                              </w:r>
                            </w:p>
                            <w:p w:rsidR="001576BC" w:rsidRPr="001576BC" w:rsidRDefault="001576BC" w:rsidP="001576BC">
                              <w:pPr>
                                <w:spacing w:after="0" w:line="240" w:lineRule="atLeast"/>
                                <w:ind w:firstLine="566"/>
                                <w:jc w:val="both"/>
                                <w:rPr>
                                  <w:rFonts w:ascii="Verdana" w:eastAsia="Times New Roman" w:hAnsi="Verdana" w:cs="Times New Roman"/>
                                  <w:color w:val="000000"/>
                                  <w:sz w:val="20"/>
                                  <w:szCs w:val="20"/>
                                  <w:lang w:eastAsia="tr-TR"/>
                                </w:rPr>
                              </w:pPr>
                              <w:r w:rsidRPr="001576BC">
                                <w:rPr>
                                  <w:rFonts w:ascii="Verdana" w:eastAsia="Times New Roman" w:hAnsi="Verdana" w:cs="Times New Roman"/>
                                  <w:color w:val="000000"/>
                                  <w:sz w:val="20"/>
                                  <w:szCs w:val="20"/>
                                  <w:lang w:eastAsia="tr-TR"/>
                                </w:rPr>
                                <w:t>(4) Soruşturmaya ilişkin yazılı ve sözlü iletişim Türkçe yapılır. İlgili tarafların soru formuna ilişkin yanıtlarını ve bu yanıtlar dışında kalan tüm bilgi, belge, görüş ve taleplerini yazılı olarak Türkçe sunmaları gerekir. Türkçe dışında bir dilde sunulan yanıt, bilgi, belge, görüş ve talepler dikkate alınmaz.</w:t>
                              </w:r>
                            </w:p>
                            <w:p w:rsidR="001576BC" w:rsidRPr="001576BC" w:rsidRDefault="001576BC" w:rsidP="001576BC">
                              <w:pPr>
                                <w:spacing w:after="0" w:line="240" w:lineRule="atLeast"/>
                                <w:ind w:firstLine="566"/>
                                <w:jc w:val="both"/>
                                <w:rPr>
                                  <w:rFonts w:ascii="Verdana" w:eastAsia="Times New Roman" w:hAnsi="Verdana" w:cs="Times New Roman"/>
                                  <w:color w:val="000000"/>
                                  <w:sz w:val="20"/>
                                  <w:szCs w:val="20"/>
                                  <w:lang w:eastAsia="tr-TR"/>
                                </w:rPr>
                              </w:pPr>
                              <w:r w:rsidRPr="001576BC">
                                <w:rPr>
                                  <w:rFonts w:ascii="Verdana" w:eastAsia="Times New Roman" w:hAnsi="Verdana" w:cs="Times New Roman"/>
                                  <w:color w:val="000000"/>
                                  <w:sz w:val="20"/>
                                  <w:szCs w:val="20"/>
                                  <w:lang w:eastAsia="tr-TR"/>
                                </w:rPr>
                                <w:t>(5) İlgili taraflar, soru formunda istenilen bilgiler haricinde, soruşturmayla ilgili olduğu düşünülen diğer bilgi, belge ve görüşlerini, destekleyici deliller ile birlikte Genel Müdürlüğe 10 uncu maddenin ikinci fıkrasında belirtilen süre içerisinde sunabilir.</w:t>
                              </w:r>
                            </w:p>
                            <w:p w:rsidR="001576BC" w:rsidRPr="001576BC" w:rsidRDefault="001576BC" w:rsidP="001576BC">
                              <w:pPr>
                                <w:spacing w:after="0" w:line="240" w:lineRule="atLeast"/>
                                <w:ind w:firstLine="566"/>
                                <w:jc w:val="both"/>
                                <w:rPr>
                                  <w:rFonts w:ascii="Verdana" w:eastAsia="Times New Roman" w:hAnsi="Verdana" w:cs="Times New Roman"/>
                                  <w:color w:val="000000"/>
                                  <w:sz w:val="20"/>
                                  <w:szCs w:val="20"/>
                                  <w:lang w:eastAsia="tr-TR"/>
                                </w:rPr>
                              </w:pPr>
                              <w:r w:rsidRPr="001576BC">
                                <w:rPr>
                                  <w:rFonts w:ascii="Verdana" w:eastAsia="Times New Roman" w:hAnsi="Verdana" w:cs="Times New Roman"/>
                                  <w:color w:val="000000"/>
                                  <w:sz w:val="20"/>
                                  <w:szCs w:val="20"/>
                                  <w:lang w:eastAsia="tr-TR"/>
                                </w:rPr>
                                <w:t xml:space="preserve">(6) Soruşturmanın sonucundan etkilenebileceklerini iddia eden, ancak birinci ve üçüncü fıkra kapsamına girmeyen ürünü girdi olarak kullanan işletmeler, bunların meslek kuruluşları, tüketici dernekleri, üretim dalındaki işçi veya işveren sendikaları gibi diğer ilgili taraflar görüşlerini 10 uncu maddenin üçüncü fıkrasında belirtilen süre </w:t>
                              </w:r>
                              <w:r w:rsidRPr="001576BC">
                                <w:rPr>
                                  <w:rFonts w:ascii="Verdana" w:eastAsia="Times New Roman" w:hAnsi="Verdana" w:cs="Times New Roman"/>
                                  <w:color w:val="000000"/>
                                  <w:sz w:val="20"/>
                                  <w:szCs w:val="20"/>
                                  <w:lang w:eastAsia="tr-TR"/>
                                </w:rPr>
                                <w:lastRenderedPageBreak/>
                                <w:t>içerisinde Genel Müdürlüğe sunabilir.</w:t>
                              </w:r>
                            </w:p>
                            <w:p w:rsidR="001576BC" w:rsidRPr="001576BC" w:rsidRDefault="001576BC" w:rsidP="001576BC">
                              <w:pPr>
                                <w:spacing w:after="0" w:line="240" w:lineRule="atLeast"/>
                                <w:ind w:firstLine="566"/>
                                <w:jc w:val="both"/>
                                <w:rPr>
                                  <w:rFonts w:ascii="Verdana" w:eastAsia="Times New Roman" w:hAnsi="Verdana" w:cs="Times New Roman"/>
                                  <w:color w:val="000000"/>
                                  <w:sz w:val="20"/>
                                  <w:szCs w:val="20"/>
                                  <w:lang w:eastAsia="tr-TR"/>
                                </w:rPr>
                              </w:pPr>
                              <w:r w:rsidRPr="001576BC">
                                <w:rPr>
                                  <w:rFonts w:ascii="Verdana" w:eastAsia="Times New Roman" w:hAnsi="Verdana" w:cs="Times New Roman"/>
                                  <w:color w:val="000000"/>
                                  <w:sz w:val="20"/>
                                  <w:szCs w:val="20"/>
                                  <w:lang w:eastAsia="tr-TR"/>
                                </w:rPr>
                                <w:t>(7) İlgili taraflarca soru formuna verilen cevaplar, soruşturmayla ilgili sunulan diğer bilgi, belge ve görüşler ile destekleyici deliller aksi belirtilmedikçe yazılı olarak sunulur. Yazılı sunumlarda ilgili tarafların isim ve unvanı, adres bilgileri, elektronik posta adresi, telefon ve faks numaraları belirtilir.</w:t>
                              </w:r>
                            </w:p>
                            <w:p w:rsidR="001576BC" w:rsidRPr="001576BC" w:rsidRDefault="001576BC" w:rsidP="001576BC">
                              <w:pPr>
                                <w:spacing w:after="0" w:line="240" w:lineRule="atLeast"/>
                                <w:ind w:firstLine="566"/>
                                <w:jc w:val="both"/>
                                <w:rPr>
                                  <w:rFonts w:ascii="Verdana" w:eastAsia="Times New Roman" w:hAnsi="Verdana" w:cs="Times New Roman"/>
                                  <w:color w:val="000000"/>
                                  <w:sz w:val="20"/>
                                  <w:szCs w:val="20"/>
                                  <w:lang w:eastAsia="tr-TR"/>
                                </w:rPr>
                              </w:pPr>
                              <w:r w:rsidRPr="001576BC">
                                <w:rPr>
                                  <w:rFonts w:ascii="Verdana" w:eastAsia="Times New Roman" w:hAnsi="Verdana" w:cs="Times New Roman"/>
                                  <w:color w:val="000000"/>
                                  <w:sz w:val="20"/>
                                  <w:szCs w:val="20"/>
                                  <w:lang w:eastAsia="tr-TR"/>
                                </w:rPr>
                                <w:t>(8) Soruşturma süresince Yönetmeliğin 22 nci maddesinin ikinci ve üçüncü fıkraları çerçevesinde gizlilik kaydıyla verilen her tür bilgi, belge ve görüşün gizli olmayan bir özeti sunulur. Gizli olmayan özet, esas bilginin makul ölçüde anlaşılmasına olanak sağlayacak ayrıntıda olur. İlgili taraflar, istisnai hallerde bu bilgilerin özetlenemeyecek nitelikte olduklarını belirtebilir. Bu gibi istisnai durumlarda, bilgilerin özetlenemeyecek nitelikte olmasının nedenlerinin belirtilmesi gerekir.</w:t>
                              </w:r>
                            </w:p>
                            <w:p w:rsidR="001576BC" w:rsidRPr="001576BC" w:rsidRDefault="001576BC" w:rsidP="001576BC">
                              <w:pPr>
                                <w:spacing w:after="0" w:line="240" w:lineRule="atLeast"/>
                                <w:ind w:firstLine="566"/>
                                <w:jc w:val="both"/>
                                <w:rPr>
                                  <w:rFonts w:ascii="Verdana" w:eastAsia="Times New Roman" w:hAnsi="Verdana" w:cs="Times New Roman"/>
                                  <w:color w:val="000000"/>
                                  <w:sz w:val="20"/>
                                  <w:szCs w:val="20"/>
                                  <w:lang w:eastAsia="tr-TR"/>
                                </w:rPr>
                              </w:pPr>
                              <w:r w:rsidRPr="001576BC">
                                <w:rPr>
                                  <w:rFonts w:ascii="Verdana" w:eastAsia="Times New Roman" w:hAnsi="Verdana" w:cs="Times New Roman"/>
                                  <w:b/>
                                  <w:bCs/>
                                  <w:color w:val="000000"/>
                                  <w:sz w:val="20"/>
                                  <w:szCs w:val="20"/>
                                  <w:lang w:eastAsia="tr-TR"/>
                                </w:rPr>
                                <w:t>Süreler</w:t>
                              </w:r>
                            </w:p>
                            <w:p w:rsidR="001576BC" w:rsidRPr="001576BC" w:rsidRDefault="001576BC" w:rsidP="001576BC">
                              <w:pPr>
                                <w:spacing w:after="0" w:line="240" w:lineRule="atLeast"/>
                                <w:ind w:firstLine="566"/>
                                <w:jc w:val="both"/>
                                <w:rPr>
                                  <w:rFonts w:ascii="Verdana" w:eastAsia="Times New Roman" w:hAnsi="Verdana" w:cs="Times New Roman"/>
                                  <w:color w:val="000000"/>
                                  <w:sz w:val="20"/>
                                  <w:szCs w:val="20"/>
                                  <w:lang w:eastAsia="tr-TR"/>
                                </w:rPr>
                              </w:pPr>
                              <w:r w:rsidRPr="001576BC">
                                <w:rPr>
                                  <w:rFonts w:ascii="Verdana" w:eastAsia="Times New Roman" w:hAnsi="Verdana" w:cs="Times New Roman"/>
                                  <w:b/>
                                  <w:bCs/>
                                  <w:color w:val="000000"/>
                                  <w:sz w:val="20"/>
                                  <w:szCs w:val="20"/>
                                  <w:lang w:eastAsia="tr-TR"/>
                                </w:rPr>
                                <w:t>MADDE 10 –</w:t>
                              </w:r>
                              <w:r w:rsidRPr="001576BC">
                                <w:rPr>
                                  <w:rFonts w:ascii="Verdana" w:eastAsia="Times New Roman" w:hAnsi="Verdana" w:cs="Times New Roman"/>
                                  <w:color w:val="000000"/>
                                  <w:sz w:val="20"/>
                                  <w:szCs w:val="20"/>
                                  <w:lang w:eastAsia="tr-TR"/>
                                </w:rPr>
                                <w:t> (1) 9 uncu maddenin birinci fıkrasında belirtilen bildirimin gönderildiği bütün ilgili taraflar için soru formunu cevaplandırma süresi, soruşturmanın açılışına ilişkin bildirimin gönderildiği tarihten itibaren posta süresi dâhil 37 gündür.</w:t>
                              </w:r>
                            </w:p>
                            <w:p w:rsidR="001576BC" w:rsidRPr="001576BC" w:rsidRDefault="001576BC" w:rsidP="001576BC">
                              <w:pPr>
                                <w:spacing w:after="0" w:line="240" w:lineRule="atLeast"/>
                                <w:ind w:firstLine="566"/>
                                <w:jc w:val="both"/>
                                <w:rPr>
                                  <w:rFonts w:ascii="Verdana" w:eastAsia="Times New Roman" w:hAnsi="Verdana" w:cs="Times New Roman"/>
                                  <w:color w:val="000000"/>
                                  <w:sz w:val="20"/>
                                  <w:szCs w:val="20"/>
                                  <w:lang w:eastAsia="tr-TR"/>
                                </w:rPr>
                              </w:pPr>
                              <w:r w:rsidRPr="001576BC">
                                <w:rPr>
                                  <w:rFonts w:ascii="Verdana" w:eastAsia="Times New Roman" w:hAnsi="Verdana" w:cs="Times New Roman"/>
                                  <w:color w:val="000000"/>
                                  <w:sz w:val="20"/>
                                  <w:szCs w:val="20"/>
                                  <w:lang w:eastAsia="tr-TR"/>
                                </w:rPr>
                                <w:t>(2) 9 uncu maddenin üçüncü ve beşinci fıkrasında belirtilen bildirimin gönderilemediği bütün ilgili taraflar, soruşturma ile ilgili görüşlerini ve soru formuna ilişkin cevaplarını bu Tebliğin yayımı tarihinden itibaren başlayacak 37 günlük süre içerisinde sunabilir.</w:t>
                              </w:r>
                            </w:p>
                            <w:p w:rsidR="001576BC" w:rsidRPr="001576BC" w:rsidRDefault="001576BC" w:rsidP="001576BC">
                              <w:pPr>
                                <w:spacing w:after="0" w:line="240" w:lineRule="atLeast"/>
                                <w:ind w:firstLine="566"/>
                                <w:jc w:val="both"/>
                                <w:rPr>
                                  <w:rFonts w:ascii="Verdana" w:eastAsia="Times New Roman" w:hAnsi="Verdana" w:cs="Times New Roman"/>
                                  <w:color w:val="000000"/>
                                  <w:sz w:val="20"/>
                                  <w:szCs w:val="20"/>
                                  <w:lang w:eastAsia="tr-TR"/>
                                </w:rPr>
                              </w:pPr>
                              <w:r w:rsidRPr="001576BC">
                                <w:rPr>
                                  <w:rFonts w:ascii="Verdana" w:eastAsia="Times New Roman" w:hAnsi="Verdana" w:cs="Times New Roman"/>
                                  <w:color w:val="000000"/>
                                  <w:sz w:val="20"/>
                                  <w:szCs w:val="20"/>
                                  <w:lang w:eastAsia="tr-TR"/>
                                </w:rPr>
                                <w:t>(3) Soruşturmanın sonucundan etkilenebileceklerini iddia eden 9 uncu maddenin altıncı fıkrası kapsamına giren diğer ilgili taraflar, soruşturma ile ilgili görüşlerini bu Tebliğin yayımı tarihinden itibaren soruşturmanın akışını etkilemeyecek şekilde soruşturma süreci içerisinde sunabilir.</w:t>
                              </w:r>
                            </w:p>
                            <w:p w:rsidR="001576BC" w:rsidRPr="001576BC" w:rsidRDefault="001576BC" w:rsidP="001576BC">
                              <w:pPr>
                                <w:spacing w:after="0" w:line="240" w:lineRule="atLeast"/>
                                <w:ind w:firstLine="566"/>
                                <w:jc w:val="both"/>
                                <w:rPr>
                                  <w:rFonts w:ascii="Verdana" w:eastAsia="Times New Roman" w:hAnsi="Verdana" w:cs="Times New Roman"/>
                                  <w:color w:val="000000"/>
                                  <w:sz w:val="20"/>
                                  <w:szCs w:val="20"/>
                                  <w:lang w:eastAsia="tr-TR"/>
                                </w:rPr>
                              </w:pPr>
                              <w:r w:rsidRPr="001576BC">
                                <w:rPr>
                                  <w:rFonts w:ascii="Verdana" w:eastAsia="Times New Roman" w:hAnsi="Verdana" w:cs="Times New Roman"/>
                                  <w:b/>
                                  <w:bCs/>
                                  <w:color w:val="000000"/>
                                  <w:sz w:val="20"/>
                                  <w:szCs w:val="20"/>
                                  <w:lang w:eastAsia="tr-TR"/>
                                </w:rPr>
                                <w:t>İşbirliğine gelinmemesi</w:t>
                              </w:r>
                            </w:p>
                            <w:p w:rsidR="001576BC" w:rsidRPr="001576BC" w:rsidRDefault="001576BC" w:rsidP="001576BC">
                              <w:pPr>
                                <w:spacing w:after="0" w:line="240" w:lineRule="atLeast"/>
                                <w:ind w:firstLine="566"/>
                                <w:jc w:val="both"/>
                                <w:rPr>
                                  <w:rFonts w:ascii="Verdana" w:eastAsia="Times New Roman" w:hAnsi="Verdana" w:cs="Times New Roman"/>
                                  <w:color w:val="000000"/>
                                  <w:sz w:val="20"/>
                                  <w:szCs w:val="20"/>
                                  <w:lang w:eastAsia="tr-TR"/>
                                </w:rPr>
                              </w:pPr>
                              <w:r w:rsidRPr="001576BC">
                                <w:rPr>
                                  <w:rFonts w:ascii="Verdana" w:eastAsia="Times New Roman" w:hAnsi="Verdana" w:cs="Times New Roman"/>
                                  <w:b/>
                                  <w:bCs/>
                                  <w:color w:val="000000"/>
                                  <w:sz w:val="20"/>
                                  <w:szCs w:val="20"/>
                                  <w:lang w:eastAsia="tr-TR"/>
                                </w:rPr>
                                <w:t>MADDE 11 –</w:t>
                              </w:r>
                              <w:r w:rsidRPr="001576BC">
                                <w:rPr>
                                  <w:rFonts w:ascii="Verdana" w:eastAsia="Times New Roman" w:hAnsi="Verdana" w:cs="Times New Roman"/>
                                  <w:color w:val="000000"/>
                                  <w:sz w:val="20"/>
                                  <w:szCs w:val="20"/>
                                  <w:lang w:eastAsia="tr-TR"/>
                                </w:rPr>
                                <w:t> (1) Yönetmeliğin 26 ncı maddesi çerçevesinde, ilgili taraflardan birinin verilen süreler dâhilinde ve istenilen biçimde gerekli bilgi ve belgeleri sağlamaması ya da bu bilgi ve belgelere erişimi reddetmesi veya soruşturmayı engellediğinin anlaşılması veya yanlış ya da yanıltıcı bilgi vermesi hallerinde söz konusu taraf işbirliğine gelmemiş sayılır. Bu gibi hallerde soruşturma kapsamındaki geçici veya nihai belirlemeler, olumlu ya da olumsuz, mevcut verilere göre yapılabilir.</w:t>
                              </w:r>
                            </w:p>
                            <w:p w:rsidR="001576BC" w:rsidRPr="001576BC" w:rsidRDefault="001576BC" w:rsidP="001576BC">
                              <w:pPr>
                                <w:spacing w:after="0" w:line="240" w:lineRule="atLeast"/>
                                <w:ind w:firstLine="566"/>
                                <w:jc w:val="both"/>
                                <w:rPr>
                                  <w:rFonts w:ascii="Verdana" w:eastAsia="Times New Roman" w:hAnsi="Verdana" w:cs="Times New Roman"/>
                                  <w:color w:val="000000"/>
                                  <w:sz w:val="20"/>
                                  <w:szCs w:val="20"/>
                                  <w:lang w:eastAsia="tr-TR"/>
                                </w:rPr>
                              </w:pPr>
                              <w:r w:rsidRPr="001576BC">
                                <w:rPr>
                                  <w:rFonts w:ascii="Verdana" w:eastAsia="Times New Roman" w:hAnsi="Verdana" w:cs="Times New Roman"/>
                                  <w:color w:val="000000"/>
                                  <w:sz w:val="20"/>
                                  <w:szCs w:val="20"/>
                                  <w:lang w:eastAsia="tr-TR"/>
                                </w:rPr>
                                <w:t>(2) İlgili tarafların işbirliğine gelmemesi veya kısmen işbirliğine gelmesi halinde, bahse konu taraf için soruşturmanın sonucu işbirliğine gelinmesine nazaran daha az avantajlı olabilir.</w:t>
                              </w:r>
                            </w:p>
                            <w:p w:rsidR="001576BC" w:rsidRPr="001576BC" w:rsidRDefault="001576BC" w:rsidP="001576BC">
                              <w:pPr>
                                <w:spacing w:after="0" w:line="240" w:lineRule="atLeast"/>
                                <w:ind w:firstLine="566"/>
                                <w:jc w:val="both"/>
                                <w:rPr>
                                  <w:rFonts w:ascii="Verdana" w:eastAsia="Times New Roman" w:hAnsi="Verdana" w:cs="Times New Roman"/>
                                  <w:color w:val="000000"/>
                                  <w:sz w:val="20"/>
                                  <w:szCs w:val="20"/>
                                  <w:lang w:eastAsia="tr-TR"/>
                                </w:rPr>
                              </w:pPr>
                              <w:r w:rsidRPr="001576BC">
                                <w:rPr>
                                  <w:rFonts w:ascii="Verdana" w:eastAsia="Times New Roman" w:hAnsi="Verdana" w:cs="Times New Roman"/>
                                  <w:b/>
                                  <w:bCs/>
                                  <w:color w:val="000000"/>
                                  <w:sz w:val="20"/>
                                  <w:szCs w:val="20"/>
                                  <w:lang w:eastAsia="tr-TR"/>
                                </w:rPr>
                                <w:t>Geçici önlem alınması ve önlemlerin geriye dönük uygulanması</w:t>
                              </w:r>
                            </w:p>
                            <w:p w:rsidR="001576BC" w:rsidRPr="001576BC" w:rsidRDefault="001576BC" w:rsidP="001576BC">
                              <w:pPr>
                                <w:spacing w:after="0" w:line="240" w:lineRule="atLeast"/>
                                <w:ind w:firstLine="566"/>
                                <w:jc w:val="both"/>
                                <w:rPr>
                                  <w:rFonts w:ascii="Verdana" w:eastAsia="Times New Roman" w:hAnsi="Verdana" w:cs="Times New Roman"/>
                                  <w:color w:val="000000"/>
                                  <w:sz w:val="20"/>
                                  <w:szCs w:val="20"/>
                                  <w:lang w:eastAsia="tr-TR"/>
                                </w:rPr>
                              </w:pPr>
                              <w:r w:rsidRPr="001576BC">
                                <w:rPr>
                                  <w:rFonts w:ascii="Verdana" w:eastAsia="Times New Roman" w:hAnsi="Verdana" w:cs="Times New Roman"/>
                                  <w:b/>
                                  <w:bCs/>
                                  <w:color w:val="000000"/>
                                  <w:sz w:val="20"/>
                                  <w:szCs w:val="20"/>
                                  <w:lang w:eastAsia="tr-TR"/>
                                </w:rPr>
                                <w:t>MADDE 12 –</w:t>
                              </w:r>
                              <w:r w:rsidRPr="001576BC">
                                <w:rPr>
                                  <w:rFonts w:ascii="Verdana" w:eastAsia="Times New Roman" w:hAnsi="Verdana" w:cs="Times New Roman"/>
                                  <w:color w:val="000000"/>
                                  <w:sz w:val="20"/>
                                  <w:szCs w:val="20"/>
                                  <w:lang w:eastAsia="tr-TR"/>
                                </w:rPr>
                                <w:t> (1) Kanun ve Kararın ilgili hükümleri uyarınca, soruşturma süresince geçici önlem uygulanması kararlaştırılabilir ve kesin önlem geriye dönük olarak uygulanabilir.</w:t>
                              </w:r>
                            </w:p>
                            <w:p w:rsidR="001576BC" w:rsidRPr="001576BC" w:rsidRDefault="001576BC" w:rsidP="001576BC">
                              <w:pPr>
                                <w:spacing w:after="0" w:line="240" w:lineRule="atLeast"/>
                                <w:ind w:firstLine="566"/>
                                <w:jc w:val="both"/>
                                <w:rPr>
                                  <w:rFonts w:ascii="Verdana" w:eastAsia="Times New Roman" w:hAnsi="Verdana" w:cs="Times New Roman"/>
                                  <w:color w:val="000000"/>
                                  <w:sz w:val="20"/>
                                  <w:szCs w:val="20"/>
                                  <w:lang w:eastAsia="tr-TR"/>
                                </w:rPr>
                              </w:pPr>
                              <w:r w:rsidRPr="001576BC">
                                <w:rPr>
                                  <w:rFonts w:ascii="Verdana" w:eastAsia="Times New Roman" w:hAnsi="Verdana" w:cs="Times New Roman"/>
                                  <w:color w:val="000000"/>
                                  <w:sz w:val="20"/>
                                  <w:szCs w:val="20"/>
                                  <w:lang w:eastAsia="tr-TR"/>
                                </w:rPr>
                                <w:t>(2) Önlemlerin uygulanmasında başlamış işlem kavramı ve istisnası bulunmamaktadır.</w:t>
                              </w:r>
                            </w:p>
                            <w:p w:rsidR="001576BC" w:rsidRPr="001576BC" w:rsidRDefault="001576BC" w:rsidP="001576BC">
                              <w:pPr>
                                <w:spacing w:after="0" w:line="240" w:lineRule="atLeast"/>
                                <w:ind w:firstLine="566"/>
                                <w:jc w:val="both"/>
                                <w:rPr>
                                  <w:rFonts w:ascii="Verdana" w:eastAsia="Times New Roman" w:hAnsi="Verdana" w:cs="Times New Roman"/>
                                  <w:color w:val="000000"/>
                                  <w:sz w:val="20"/>
                                  <w:szCs w:val="20"/>
                                  <w:lang w:eastAsia="tr-TR"/>
                                </w:rPr>
                              </w:pPr>
                              <w:r w:rsidRPr="001576BC">
                                <w:rPr>
                                  <w:rFonts w:ascii="Verdana" w:eastAsia="Times New Roman" w:hAnsi="Verdana" w:cs="Times New Roman"/>
                                  <w:b/>
                                  <w:bCs/>
                                  <w:color w:val="000000"/>
                                  <w:sz w:val="20"/>
                                  <w:szCs w:val="20"/>
                                  <w:lang w:eastAsia="tr-TR"/>
                                </w:rPr>
                                <w:t>Yetkili merci ve adresi</w:t>
                              </w:r>
                            </w:p>
                            <w:p w:rsidR="001576BC" w:rsidRPr="001576BC" w:rsidRDefault="001576BC" w:rsidP="001576BC">
                              <w:pPr>
                                <w:spacing w:after="0" w:line="240" w:lineRule="atLeast"/>
                                <w:ind w:firstLine="566"/>
                                <w:jc w:val="both"/>
                                <w:rPr>
                                  <w:rFonts w:ascii="Verdana" w:eastAsia="Times New Roman" w:hAnsi="Verdana" w:cs="Times New Roman"/>
                                  <w:color w:val="000000"/>
                                  <w:sz w:val="20"/>
                                  <w:szCs w:val="20"/>
                                  <w:lang w:eastAsia="tr-TR"/>
                                </w:rPr>
                              </w:pPr>
                              <w:r w:rsidRPr="001576BC">
                                <w:rPr>
                                  <w:rFonts w:ascii="Verdana" w:eastAsia="Times New Roman" w:hAnsi="Verdana" w:cs="Times New Roman"/>
                                  <w:b/>
                                  <w:bCs/>
                                  <w:color w:val="000000"/>
                                  <w:sz w:val="20"/>
                                  <w:szCs w:val="20"/>
                                  <w:lang w:eastAsia="tr-TR"/>
                                </w:rPr>
                                <w:t>MADDE 13 –</w:t>
                              </w:r>
                              <w:r w:rsidRPr="001576BC">
                                <w:rPr>
                                  <w:rFonts w:ascii="Verdana" w:eastAsia="Times New Roman" w:hAnsi="Verdana" w:cs="Times New Roman"/>
                                  <w:color w:val="000000"/>
                                  <w:sz w:val="20"/>
                                  <w:szCs w:val="20"/>
                                  <w:lang w:eastAsia="tr-TR"/>
                                </w:rPr>
                                <w:t> (1) Soruşturmayla ilgili bilgi, belge ve görüşlerin aşağıda belirtilen yetkili mercie yazılı olarak iletilmesi gerekir:</w:t>
                              </w:r>
                            </w:p>
                            <w:p w:rsidR="001576BC" w:rsidRPr="001576BC" w:rsidRDefault="001576BC" w:rsidP="001576BC">
                              <w:pPr>
                                <w:spacing w:after="0" w:line="240" w:lineRule="atLeast"/>
                                <w:ind w:firstLine="566"/>
                                <w:jc w:val="both"/>
                                <w:rPr>
                                  <w:rFonts w:ascii="Verdana" w:eastAsia="Times New Roman" w:hAnsi="Verdana" w:cs="Times New Roman"/>
                                  <w:color w:val="000000"/>
                                  <w:sz w:val="20"/>
                                  <w:szCs w:val="20"/>
                                  <w:lang w:eastAsia="tr-TR"/>
                                </w:rPr>
                              </w:pPr>
                              <w:r w:rsidRPr="001576BC">
                                <w:rPr>
                                  <w:rFonts w:ascii="Verdana" w:eastAsia="Times New Roman" w:hAnsi="Verdana" w:cs="Times New Roman"/>
                                  <w:color w:val="000000"/>
                                  <w:sz w:val="20"/>
                                  <w:szCs w:val="20"/>
                                  <w:lang w:eastAsia="tr-TR"/>
                                </w:rPr>
                                <w:t>T.C. Ekonomi Bakanlığı</w:t>
                              </w:r>
                            </w:p>
                            <w:p w:rsidR="001576BC" w:rsidRPr="001576BC" w:rsidRDefault="001576BC" w:rsidP="001576BC">
                              <w:pPr>
                                <w:spacing w:after="0" w:line="240" w:lineRule="atLeast"/>
                                <w:ind w:firstLine="566"/>
                                <w:jc w:val="both"/>
                                <w:rPr>
                                  <w:rFonts w:ascii="Verdana" w:eastAsia="Times New Roman" w:hAnsi="Verdana" w:cs="Times New Roman"/>
                                  <w:color w:val="000000"/>
                                  <w:sz w:val="20"/>
                                  <w:szCs w:val="20"/>
                                  <w:lang w:eastAsia="tr-TR"/>
                                </w:rPr>
                              </w:pPr>
                              <w:r w:rsidRPr="001576BC">
                                <w:rPr>
                                  <w:rFonts w:ascii="Verdana" w:eastAsia="Times New Roman" w:hAnsi="Verdana" w:cs="Times New Roman"/>
                                  <w:color w:val="000000"/>
                                  <w:sz w:val="20"/>
                                  <w:szCs w:val="20"/>
                                  <w:lang w:eastAsia="tr-TR"/>
                                </w:rPr>
                                <w:t>İthalat Genel Müdürlüğü</w:t>
                              </w:r>
                            </w:p>
                            <w:p w:rsidR="001576BC" w:rsidRPr="001576BC" w:rsidRDefault="001576BC" w:rsidP="001576BC">
                              <w:pPr>
                                <w:spacing w:after="0" w:line="240" w:lineRule="atLeast"/>
                                <w:ind w:firstLine="566"/>
                                <w:jc w:val="both"/>
                                <w:rPr>
                                  <w:rFonts w:ascii="Verdana" w:eastAsia="Times New Roman" w:hAnsi="Verdana" w:cs="Times New Roman"/>
                                  <w:color w:val="000000"/>
                                  <w:sz w:val="20"/>
                                  <w:szCs w:val="20"/>
                                  <w:lang w:eastAsia="tr-TR"/>
                                </w:rPr>
                              </w:pPr>
                              <w:r w:rsidRPr="001576BC">
                                <w:rPr>
                                  <w:rFonts w:ascii="Verdana" w:eastAsia="Times New Roman" w:hAnsi="Verdana" w:cs="Times New Roman"/>
                                  <w:color w:val="000000"/>
                                  <w:sz w:val="20"/>
                                  <w:szCs w:val="20"/>
                                  <w:lang w:eastAsia="tr-TR"/>
                                </w:rPr>
                                <w:t>2180. Cadde No:63 06520 Söğütözü/ANKARA</w:t>
                              </w:r>
                            </w:p>
                            <w:p w:rsidR="001576BC" w:rsidRPr="001576BC" w:rsidRDefault="001576BC" w:rsidP="001576BC">
                              <w:pPr>
                                <w:spacing w:after="0" w:line="240" w:lineRule="atLeast"/>
                                <w:ind w:firstLine="566"/>
                                <w:jc w:val="both"/>
                                <w:rPr>
                                  <w:rFonts w:ascii="Verdana" w:eastAsia="Times New Roman" w:hAnsi="Verdana" w:cs="Times New Roman"/>
                                  <w:color w:val="000000"/>
                                  <w:sz w:val="20"/>
                                  <w:szCs w:val="20"/>
                                  <w:lang w:eastAsia="tr-TR"/>
                                </w:rPr>
                              </w:pPr>
                              <w:r w:rsidRPr="001576BC">
                                <w:rPr>
                                  <w:rFonts w:ascii="Verdana" w:eastAsia="Times New Roman" w:hAnsi="Verdana" w:cs="Times New Roman"/>
                                  <w:color w:val="000000"/>
                                  <w:sz w:val="20"/>
                                  <w:szCs w:val="20"/>
                                  <w:lang w:eastAsia="tr-TR"/>
                                </w:rPr>
                                <w:t>Faks:+90-312-204 86 33</w:t>
                              </w:r>
                            </w:p>
                            <w:p w:rsidR="001576BC" w:rsidRPr="001576BC" w:rsidRDefault="001576BC" w:rsidP="001576BC">
                              <w:pPr>
                                <w:spacing w:after="0" w:line="240" w:lineRule="atLeast"/>
                                <w:ind w:firstLine="566"/>
                                <w:jc w:val="both"/>
                                <w:rPr>
                                  <w:rFonts w:ascii="Verdana" w:eastAsia="Times New Roman" w:hAnsi="Verdana" w:cs="Times New Roman"/>
                                  <w:color w:val="000000"/>
                                  <w:sz w:val="20"/>
                                  <w:szCs w:val="20"/>
                                  <w:lang w:eastAsia="tr-TR"/>
                                </w:rPr>
                              </w:pPr>
                              <w:r w:rsidRPr="001576BC">
                                <w:rPr>
                                  <w:rFonts w:ascii="Verdana" w:eastAsia="Times New Roman" w:hAnsi="Verdana" w:cs="Times New Roman"/>
                                  <w:color w:val="000000"/>
                                  <w:sz w:val="20"/>
                                  <w:szCs w:val="20"/>
                                  <w:lang w:eastAsia="tr-TR"/>
                                </w:rPr>
                                <w:t>E-posta: dms259@ekonomi.gov.tr</w:t>
                              </w:r>
                            </w:p>
                            <w:p w:rsidR="001576BC" w:rsidRPr="001576BC" w:rsidRDefault="001576BC" w:rsidP="001576BC">
                              <w:pPr>
                                <w:spacing w:after="0" w:line="240" w:lineRule="atLeast"/>
                                <w:ind w:firstLine="566"/>
                                <w:jc w:val="both"/>
                                <w:rPr>
                                  <w:rFonts w:ascii="Verdana" w:eastAsia="Times New Roman" w:hAnsi="Verdana" w:cs="Times New Roman"/>
                                  <w:color w:val="000000"/>
                                  <w:sz w:val="20"/>
                                  <w:szCs w:val="20"/>
                                  <w:lang w:eastAsia="tr-TR"/>
                                </w:rPr>
                              </w:pPr>
                              <w:r w:rsidRPr="001576BC">
                                <w:rPr>
                                  <w:rFonts w:ascii="Verdana" w:eastAsia="Times New Roman" w:hAnsi="Verdana" w:cs="Times New Roman"/>
                                  <w:b/>
                                  <w:bCs/>
                                  <w:color w:val="000000"/>
                                  <w:sz w:val="20"/>
                                  <w:szCs w:val="20"/>
                                  <w:lang w:eastAsia="tr-TR"/>
                                </w:rPr>
                                <w:t>Soruşturmanın başlangıç tarihi</w:t>
                              </w:r>
                            </w:p>
                            <w:p w:rsidR="001576BC" w:rsidRPr="001576BC" w:rsidRDefault="001576BC" w:rsidP="001576BC">
                              <w:pPr>
                                <w:spacing w:after="0" w:line="240" w:lineRule="atLeast"/>
                                <w:ind w:firstLine="566"/>
                                <w:jc w:val="both"/>
                                <w:rPr>
                                  <w:rFonts w:ascii="Verdana" w:eastAsia="Times New Roman" w:hAnsi="Verdana" w:cs="Times New Roman"/>
                                  <w:color w:val="000000"/>
                                  <w:sz w:val="20"/>
                                  <w:szCs w:val="20"/>
                                  <w:lang w:eastAsia="tr-TR"/>
                                </w:rPr>
                              </w:pPr>
                              <w:r w:rsidRPr="001576BC">
                                <w:rPr>
                                  <w:rFonts w:ascii="Verdana" w:eastAsia="Times New Roman" w:hAnsi="Verdana" w:cs="Times New Roman"/>
                                  <w:b/>
                                  <w:bCs/>
                                  <w:color w:val="000000"/>
                                  <w:sz w:val="20"/>
                                  <w:szCs w:val="20"/>
                                  <w:lang w:eastAsia="tr-TR"/>
                                </w:rPr>
                                <w:t>MADDE 14 –</w:t>
                              </w:r>
                              <w:r w:rsidRPr="001576BC">
                                <w:rPr>
                                  <w:rFonts w:ascii="Verdana" w:eastAsia="Times New Roman" w:hAnsi="Verdana" w:cs="Times New Roman"/>
                                  <w:color w:val="000000"/>
                                  <w:sz w:val="20"/>
                                  <w:szCs w:val="20"/>
                                  <w:lang w:eastAsia="tr-TR"/>
                                </w:rPr>
                                <w:t> (1) Soruşturma, bu Tebliğin yayımı tarihinde başlamış kabul edilir.</w:t>
                              </w:r>
                            </w:p>
                            <w:p w:rsidR="001576BC" w:rsidRPr="001576BC" w:rsidRDefault="001576BC" w:rsidP="001576BC">
                              <w:pPr>
                                <w:spacing w:after="0" w:line="240" w:lineRule="atLeast"/>
                                <w:ind w:firstLine="566"/>
                                <w:jc w:val="both"/>
                                <w:rPr>
                                  <w:rFonts w:ascii="Verdana" w:eastAsia="Times New Roman" w:hAnsi="Verdana" w:cs="Times New Roman"/>
                                  <w:color w:val="000000"/>
                                  <w:sz w:val="20"/>
                                  <w:szCs w:val="20"/>
                                  <w:lang w:eastAsia="tr-TR"/>
                                </w:rPr>
                              </w:pPr>
                              <w:r w:rsidRPr="001576BC">
                                <w:rPr>
                                  <w:rFonts w:ascii="Verdana" w:eastAsia="Times New Roman" w:hAnsi="Verdana" w:cs="Times New Roman"/>
                                  <w:b/>
                                  <w:bCs/>
                                  <w:color w:val="000000"/>
                                  <w:sz w:val="20"/>
                                  <w:szCs w:val="20"/>
                                  <w:lang w:eastAsia="tr-TR"/>
                                </w:rPr>
                                <w:t>Yürürlük</w:t>
                              </w:r>
                            </w:p>
                            <w:p w:rsidR="001576BC" w:rsidRPr="001576BC" w:rsidRDefault="001576BC" w:rsidP="001576BC">
                              <w:pPr>
                                <w:spacing w:after="0" w:line="240" w:lineRule="atLeast"/>
                                <w:ind w:firstLine="566"/>
                                <w:jc w:val="both"/>
                                <w:rPr>
                                  <w:rFonts w:ascii="Verdana" w:eastAsia="Times New Roman" w:hAnsi="Verdana" w:cs="Times New Roman"/>
                                  <w:color w:val="000000"/>
                                  <w:sz w:val="20"/>
                                  <w:szCs w:val="20"/>
                                  <w:lang w:eastAsia="tr-TR"/>
                                </w:rPr>
                              </w:pPr>
                              <w:r w:rsidRPr="001576BC">
                                <w:rPr>
                                  <w:rFonts w:ascii="Verdana" w:eastAsia="Times New Roman" w:hAnsi="Verdana" w:cs="Times New Roman"/>
                                  <w:b/>
                                  <w:bCs/>
                                  <w:color w:val="000000"/>
                                  <w:sz w:val="20"/>
                                  <w:szCs w:val="20"/>
                                  <w:lang w:eastAsia="tr-TR"/>
                                </w:rPr>
                                <w:t>MADDE 15 –</w:t>
                              </w:r>
                              <w:r w:rsidRPr="001576BC">
                                <w:rPr>
                                  <w:rFonts w:ascii="Verdana" w:eastAsia="Times New Roman" w:hAnsi="Verdana" w:cs="Times New Roman"/>
                                  <w:color w:val="000000"/>
                                  <w:sz w:val="20"/>
                                  <w:szCs w:val="20"/>
                                  <w:lang w:eastAsia="tr-TR"/>
                                </w:rPr>
                                <w:t> (1) Bu Tebliğ yayımı tarihinde yürürlüğe girer.</w:t>
                              </w:r>
                            </w:p>
                            <w:p w:rsidR="001576BC" w:rsidRPr="001576BC" w:rsidRDefault="001576BC" w:rsidP="001576BC">
                              <w:pPr>
                                <w:spacing w:after="0" w:line="240" w:lineRule="atLeast"/>
                                <w:ind w:firstLine="566"/>
                                <w:jc w:val="both"/>
                                <w:rPr>
                                  <w:rFonts w:ascii="Verdana" w:eastAsia="Times New Roman" w:hAnsi="Verdana" w:cs="Times New Roman"/>
                                  <w:color w:val="000000"/>
                                  <w:sz w:val="20"/>
                                  <w:szCs w:val="20"/>
                                  <w:lang w:eastAsia="tr-TR"/>
                                </w:rPr>
                              </w:pPr>
                              <w:r w:rsidRPr="001576BC">
                                <w:rPr>
                                  <w:rFonts w:ascii="Verdana" w:eastAsia="Times New Roman" w:hAnsi="Verdana" w:cs="Times New Roman"/>
                                  <w:b/>
                                  <w:bCs/>
                                  <w:color w:val="000000"/>
                                  <w:sz w:val="20"/>
                                  <w:szCs w:val="20"/>
                                  <w:lang w:eastAsia="tr-TR"/>
                                </w:rPr>
                                <w:t>Yürütme</w:t>
                              </w:r>
                            </w:p>
                            <w:p w:rsidR="001576BC" w:rsidRPr="001576BC" w:rsidRDefault="001576BC" w:rsidP="001576BC">
                              <w:pPr>
                                <w:spacing w:after="0" w:line="240" w:lineRule="atLeast"/>
                                <w:ind w:firstLine="566"/>
                                <w:jc w:val="both"/>
                                <w:rPr>
                                  <w:rFonts w:ascii="Verdana" w:eastAsia="Times New Roman" w:hAnsi="Verdana" w:cs="Times New Roman"/>
                                  <w:color w:val="000000"/>
                                  <w:sz w:val="20"/>
                                  <w:szCs w:val="20"/>
                                  <w:lang w:eastAsia="tr-TR"/>
                                </w:rPr>
                              </w:pPr>
                              <w:r w:rsidRPr="001576BC">
                                <w:rPr>
                                  <w:rFonts w:ascii="Verdana" w:eastAsia="Times New Roman" w:hAnsi="Verdana" w:cs="Times New Roman"/>
                                  <w:b/>
                                  <w:bCs/>
                                  <w:color w:val="000000"/>
                                  <w:sz w:val="20"/>
                                  <w:szCs w:val="20"/>
                                  <w:lang w:eastAsia="tr-TR"/>
                                </w:rPr>
                                <w:t>MADDE 16 –</w:t>
                              </w:r>
                              <w:r w:rsidRPr="001576BC">
                                <w:rPr>
                                  <w:rFonts w:ascii="Verdana" w:eastAsia="Times New Roman" w:hAnsi="Verdana" w:cs="Times New Roman"/>
                                  <w:color w:val="000000"/>
                                  <w:sz w:val="20"/>
                                  <w:szCs w:val="20"/>
                                  <w:lang w:eastAsia="tr-TR"/>
                                </w:rPr>
                                <w:t> (1) Bu Tebliğ hükümlerini Ekonomi Bakanı yürütür.</w:t>
                              </w:r>
                            </w:p>
                            <w:p w:rsidR="001576BC" w:rsidRPr="001576BC" w:rsidRDefault="001576BC" w:rsidP="001576BC">
                              <w:pPr>
                                <w:spacing w:after="0" w:line="240" w:lineRule="auto"/>
                                <w:rPr>
                                  <w:rFonts w:ascii="Verdana" w:eastAsia="Times New Roman" w:hAnsi="Verdana" w:cs="Times New Roman"/>
                                  <w:color w:val="000000"/>
                                  <w:sz w:val="20"/>
                                  <w:szCs w:val="20"/>
                                  <w:lang w:eastAsia="tr-TR"/>
                                </w:rPr>
                              </w:pPr>
                            </w:p>
                          </w:tc>
                        </w:tr>
                      </w:tbl>
                      <w:p w:rsidR="001576BC" w:rsidRPr="001576BC" w:rsidRDefault="001576BC" w:rsidP="001576BC">
                        <w:pPr>
                          <w:spacing w:after="0" w:line="240" w:lineRule="auto"/>
                          <w:rPr>
                            <w:rFonts w:ascii="Verdana" w:eastAsia="Times New Roman" w:hAnsi="Verdana" w:cs="Times New Roman"/>
                            <w:color w:val="FFFFFF"/>
                            <w:sz w:val="18"/>
                            <w:szCs w:val="18"/>
                            <w:lang w:eastAsia="tr-TR"/>
                          </w:rPr>
                        </w:pPr>
                      </w:p>
                    </w:tc>
                  </w:tr>
                  <w:tr w:rsidR="001576BC" w:rsidRPr="001576BC">
                    <w:trPr>
                      <w:trHeight w:val="180"/>
                      <w:tblCellSpacing w:w="0" w:type="dxa"/>
                      <w:hidden/>
                    </w:trPr>
                    <w:tc>
                      <w:tcPr>
                        <w:tcW w:w="0" w:type="auto"/>
                        <w:shd w:val="clear" w:color="auto" w:fill="104E83"/>
                        <w:hideMark/>
                      </w:tcPr>
                      <w:p w:rsidR="001576BC" w:rsidRPr="001576BC" w:rsidRDefault="001576BC" w:rsidP="001576BC">
                        <w:pPr>
                          <w:spacing w:after="0" w:line="240" w:lineRule="auto"/>
                          <w:rPr>
                            <w:rFonts w:ascii="Verdana" w:eastAsia="Times New Roman" w:hAnsi="Verdana" w:cs="Times New Roman"/>
                            <w:vanish/>
                            <w:color w:val="FFFFFF"/>
                            <w:sz w:val="18"/>
                            <w:szCs w:val="18"/>
                            <w:lang w:eastAsia="tr-TR"/>
                          </w:rPr>
                        </w:pPr>
                        <w:r w:rsidRPr="001576BC">
                          <w:rPr>
                            <w:rFonts w:ascii="Verdana" w:eastAsia="Times New Roman" w:hAnsi="Verdana" w:cs="Times New Roman"/>
                            <w:vanish/>
                            <w:color w:val="FFFFFF"/>
                            <w:sz w:val="18"/>
                            <w:szCs w:val="18"/>
                            <w:lang w:eastAsia="tr-TR"/>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25pt;height:18pt" o:ole="">
                              <v:imagedata r:id="rId5" o:title=""/>
                            </v:shape>
                            <w:control r:id="rId6" w:name="DefaultOcxName" w:shapeid="_x0000_i1038"/>
                          </w:object>
                        </w:r>
                        <w:r w:rsidRPr="001576BC">
                          <w:rPr>
                            <w:rFonts w:ascii="Verdana" w:eastAsia="Times New Roman" w:hAnsi="Verdana" w:cs="Times New Roman"/>
                            <w:vanish/>
                            <w:color w:val="FFFFFF"/>
                            <w:sz w:val="18"/>
                            <w:szCs w:val="18"/>
                            <w:lang w:eastAsia="tr-TR"/>
                          </w:rPr>
                          <w:t>  İlgili Mevzuatları Göster</w:t>
                        </w:r>
                      </w:p>
                    </w:tc>
                  </w:tr>
                  <w:tr w:rsidR="001576BC" w:rsidRPr="001576BC">
                    <w:trPr>
                      <w:trHeight w:val="180"/>
                      <w:tblCellSpacing w:w="0" w:type="dxa"/>
                    </w:trPr>
                    <w:tc>
                      <w:tcPr>
                        <w:tcW w:w="0" w:type="auto"/>
                        <w:hideMark/>
                      </w:tcPr>
                      <w:tbl>
                        <w:tblPr>
                          <w:tblW w:w="5000" w:type="pct"/>
                          <w:tblBorders>
                            <w:top w:val="single" w:sz="2" w:space="0" w:color="auto"/>
                            <w:left w:val="single" w:sz="2" w:space="0" w:color="auto"/>
                            <w:bottom w:val="single" w:sz="2" w:space="0" w:color="auto"/>
                            <w:right w:val="single" w:sz="2" w:space="0" w:color="auto"/>
                          </w:tblBorders>
                          <w:tblCellMar>
                            <w:top w:w="45" w:type="dxa"/>
                            <w:left w:w="45" w:type="dxa"/>
                            <w:bottom w:w="45" w:type="dxa"/>
                            <w:right w:w="45" w:type="dxa"/>
                          </w:tblCellMar>
                          <w:tblLook w:val="04A0" w:firstRow="1" w:lastRow="0" w:firstColumn="1" w:lastColumn="0" w:noHBand="0" w:noVBand="1"/>
                        </w:tblPr>
                        <w:tblGrid>
                          <w:gridCol w:w="9066"/>
                        </w:tblGrid>
                        <w:tr w:rsidR="001576BC" w:rsidRPr="001576BC">
                          <w:tc>
                            <w:tcPr>
                              <w:tcW w:w="0" w:type="auto"/>
                              <w:vAlign w:val="center"/>
                              <w:hideMark/>
                            </w:tcPr>
                            <w:p w:rsidR="001576BC" w:rsidRPr="001576BC" w:rsidRDefault="001576BC" w:rsidP="001576BC">
                              <w:pPr>
                                <w:spacing w:after="0" w:line="240" w:lineRule="auto"/>
                                <w:rPr>
                                  <w:rFonts w:ascii="Times New Roman" w:eastAsia="Times New Roman" w:hAnsi="Times New Roman" w:cs="Times New Roman"/>
                                  <w:sz w:val="24"/>
                                  <w:szCs w:val="24"/>
                                  <w:lang w:eastAsia="tr-TR"/>
                                </w:rPr>
                              </w:pPr>
                            </w:p>
                          </w:tc>
                        </w:tr>
                      </w:tbl>
                      <w:p w:rsidR="001576BC" w:rsidRPr="001576BC" w:rsidRDefault="001576BC" w:rsidP="001576BC">
                        <w:pPr>
                          <w:spacing w:after="0" w:line="240" w:lineRule="auto"/>
                          <w:rPr>
                            <w:rFonts w:ascii="Verdana" w:eastAsia="Times New Roman" w:hAnsi="Verdana" w:cs="Times New Roman"/>
                            <w:vanish/>
                            <w:color w:val="7AA6D3"/>
                            <w:sz w:val="18"/>
                            <w:szCs w:val="18"/>
                            <w:lang w:eastAsia="tr-TR"/>
                          </w:rPr>
                        </w:pPr>
                      </w:p>
                    </w:tc>
                  </w:tr>
                  <w:tr w:rsidR="001576BC" w:rsidRPr="001576BC">
                    <w:trPr>
                      <w:trHeight w:val="180"/>
                      <w:tblCellSpacing w:w="0" w:type="dxa"/>
                      <w:hidden/>
                    </w:trPr>
                    <w:tc>
                      <w:tcPr>
                        <w:tcW w:w="0" w:type="auto"/>
                        <w:shd w:val="clear" w:color="auto" w:fill="104E83"/>
                        <w:hideMark/>
                      </w:tcPr>
                      <w:p w:rsidR="001576BC" w:rsidRPr="001576BC" w:rsidRDefault="001576BC" w:rsidP="001576BC">
                        <w:pPr>
                          <w:spacing w:after="0" w:line="240" w:lineRule="auto"/>
                          <w:rPr>
                            <w:rFonts w:ascii="Verdana" w:eastAsia="Times New Roman" w:hAnsi="Verdana" w:cs="Times New Roman"/>
                            <w:vanish/>
                            <w:color w:val="FFFFFF"/>
                            <w:sz w:val="18"/>
                            <w:szCs w:val="18"/>
                            <w:lang w:eastAsia="tr-TR"/>
                          </w:rPr>
                        </w:pPr>
                        <w:r w:rsidRPr="001576BC">
                          <w:rPr>
                            <w:rFonts w:ascii="Verdana" w:eastAsia="Times New Roman" w:hAnsi="Verdana" w:cs="Times New Roman"/>
                            <w:vanish/>
                            <w:color w:val="FFFFFF"/>
                            <w:sz w:val="18"/>
                            <w:szCs w:val="18"/>
                            <w:lang w:eastAsia="tr-TR"/>
                          </w:rPr>
                          <w:object w:dxaOrig="1440" w:dyaOrig="1440">
                            <v:shape id="_x0000_i1037" type="#_x0000_t75" style="width:20.25pt;height:18pt" o:ole="">
                              <v:imagedata r:id="rId5" o:title=""/>
                            </v:shape>
                            <w:control r:id="rId7" w:name="DefaultOcxName1" w:shapeid="_x0000_i1037"/>
                          </w:object>
                        </w:r>
                        <w:r w:rsidRPr="001576BC">
                          <w:rPr>
                            <w:rFonts w:ascii="Verdana" w:eastAsia="Times New Roman" w:hAnsi="Verdana" w:cs="Times New Roman"/>
                            <w:vanish/>
                            <w:color w:val="FFFFFF"/>
                            <w:sz w:val="18"/>
                            <w:szCs w:val="18"/>
                            <w:lang w:eastAsia="tr-TR"/>
                          </w:rPr>
                          <w:t>Bu Mevzuatın Yürürlükten Kaldırdığı/Değiştirdiği Mevzuatları Göster</w:t>
                        </w:r>
                      </w:p>
                    </w:tc>
                  </w:tr>
                  <w:tr w:rsidR="001576BC" w:rsidRPr="001576BC">
                    <w:trPr>
                      <w:trHeight w:val="150"/>
                      <w:tblCellSpacing w:w="0" w:type="dxa"/>
                    </w:trPr>
                    <w:tc>
                      <w:tcPr>
                        <w:tcW w:w="0" w:type="auto"/>
                        <w:hideMark/>
                      </w:tcPr>
                      <w:tbl>
                        <w:tblPr>
                          <w:tblW w:w="5000" w:type="pct"/>
                          <w:tblBorders>
                            <w:top w:val="single" w:sz="2" w:space="0" w:color="auto"/>
                            <w:left w:val="single" w:sz="2" w:space="0" w:color="auto"/>
                            <w:bottom w:val="single" w:sz="2" w:space="0" w:color="auto"/>
                            <w:right w:val="single" w:sz="2" w:space="0" w:color="auto"/>
                          </w:tblBorders>
                          <w:tblCellMar>
                            <w:top w:w="45" w:type="dxa"/>
                            <w:left w:w="45" w:type="dxa"/>
                            <w:bottom w:w="45" w:type="dxa"/>
                            <w:right w:w="45" w:type="dxa"/>
                          </w:tblCellMar>
                          <w:tblLook w:val="04A0" w:firstRow="1" w:lastRow="0" w:firstColumn="1" w:lastColumn="0" w:noHBand="0" w:noVBand="1"/>
                        </w:tblPr>
                        <w:tblGrid>
                          <w:gridCol w:w="9066"/>
                        </w:tblGrid>
                        <w:tr w:rsidR="001576BC" w:rsidRPr="001576BC">
                          <w:tc>
                            <w:tcPr>
                              <w:tcW w:w="0" w:type="auto"/>
                              <w:vAlign w:val="center"/>
                              <w:hideMark/>
                            </w:tcPr>
                            <w:p w:rsidR="001576BC" w:rsidRPr="001576BC" w:rsidRDefault="001576BC" w:rsidP="001576BC">
                              <w:pPr>
                                <w:spacing w:after="0" w:line="240" w:lineRule="auto"/>
                                <w:rPr>
                                  <w:rFonts w:ascii="Times New Roman" w:eastAsia="Times New Roman" w:hAnsi="Times New Roman" w:cs="Times New Roman"/>
                                  <w:sz w:val="24"/>
                                  <w:szCs w:val="24"/>
                                  <w:lang w:eastAsia="tr-TR"/>
                                </w:rPr>
                              </w:pPr>
                            </w:p>
                          </w:tc>
                        </w:tr>
                      </w:tbl>
                      <w:p w:rsidR="001576BC" w:rsidRPr="001576BC" w:rsidRDefault="001576BC" w:rsidP="001576BC">
                        <w:pPr>
                          <w:spacing w:after="0" w:line="150" w:lineRule="atLeast"/>
                          <w:rPr>
                            <w:rFonts w:ascii="Verdana" w:eastAsia="Times New Roman" w:hAnsi="Verdana" w:cs="Times New Roman"/>
                            <w:vanish/>
                            <w:color w:val="7AA6D3"/>
                            <w:sz w:val="18"/>
                            <w:szCs w:val="18"/>
                            <w:lang w:eastAsia="tr-TR"/>
                          </w:rPr>
                        </w:pPr>
                      </w:p>
                    </w:tc>
                  </w:tr>
                </w:tbl>
                <w:p w:rsidR="001576BC" w:rsidRPr="001576BC" w:rsidRDefault="001576BC" w:rsidP="001576BC">
                  <w:pPr>
                    <w:spacing w:after="0" w:line="240" w:lineRule="auto"/>
                    <w:rPr>
                      <w:rFonts w:ascii="Times New Roman" w:eastAsia="Times New Roman" w:hAnsi="Times New Roman" w:cs="Times New Roman"/>
                      <w:sz w:val="24"/>
                      <w:szCs w:val="24"/>
                      <w:lang w:eastAsia="tr-TR"/>
                    </w:rPr>
                  </w:pPr>
                </w:p>
              </w:tc>
            </w:tr>
          </w:tbl>
          <w:p w:rsidR="001576BC" w:rsidRPr="001576BC" w:rsidRDefault="001576BC" w:rsidP="001576BC">
            <w:pPr>
              <w:spacing w:after="0" w:line="240" w:lineRule="auto"/>
              <w:rPr>
                <w:rFonts w:ascii="Times New Roman" w:eastAsia="Times New Roman" w:hAnsi="Times New Roman" w:cs="Times New Roman"/>
                <w:sz w:val="24"/>
                <w:szCs w:val="24"/>
                <w:lang w:eastAsia="tr-TR"/>
              </w:rPr>
            </w:pPr>
          </w:p>
        </w:tc>
      </w:tr>
    </w:tbl>
    <w:p w:rsidR="001576BC" w:rsidRPr="001576BC" w:rsidRDefault="001576BC" w:rsidP="001576BC">
      <w:pPr>
        <w:spacing w:after="0" w:line="240" w:lineRule="auto"/>
        <w:rPr>
          <w:rFonts w:ascii="Times New Roman" w:eastAsia="Times New Roman" w:hAnsi="Times New Roman" w:cs="Times New Roman"/>
          <w:sz w:val="24"/>
          <w:szCs w:val="24"/>
          <w:lang w:eastAsia="tr-TR"/>
        </w:rPr>
      </w:pPr>
      <w:r w:rsidRPr="001576BC">
        <w:rPr>
          <w:rFonts w:ascii="Times New Roman" w:eastAsia="Times New Roman" w:hAnsi="Times New Roman" w:cs="Times New Roman"/>
          <w:sz w:val="24"/>
          <w:szCs w:val="24"/>
          <w:lang w:eastAsia="tr-TR"/>
        </w:rPr>
        <w:lastRenderedPageBreak/>
        <w:t xml:space="preserve">    </w:t>
      </w:r>
      <w:bookmarkStart w:id="0" w:name="_GoBack"/>
    </w:p>
    <w:p w:rsidR="001576BC" w:rsidRPr="001576BC" w:rsidRDefault="001576BC" w:rsidP="001576BC">
      <w:pPr>
        <w:spacing w:after="0" w:line="240" w:lineRule="auto"/>
        <w:rPr>
          <w:rFonts w:ascii="Times New Roman" w:eastAsia="Times New Roman" w:hAnsi="Times New Roman" w:cs="Times New Roman"/>
          <w:vanish/>
          <w:sz w:val="24"/>
          <w:szCs w:val="24"/>
          <w:lang w:eastAsia="tr-TR"/>
        </w:rPr>
      </w:pPr>
      <w:r w:rsidRPr="001576BC">
        <w:rPr>
          <w:rFonts w:ascii="Times New Roman" w:eastAsia="Times New Roman" w:hAnsi="Times New Roman" w:cs="Times New Roman"/>
          <w:vanish/>
          <w:sz w:val="24"/>
          <w:szCs w:val="24"/>
          <w:lang w:eastAsia="tr-TR"/>
        </w:rPr>
        <w:object w:dxaOrig="1440" w:dyaOrig="1440">
          <v:shape id="_x0000_i1036" type="#_x0000_t75" style="width:36pt;height:22.5pt" o:ole="">
            <v:imagedata r:id="rId8" o:title=""/>
          </v:shape>
          <w:control r:id="rId9" w:name="DefaultOcxName2" w:shapeid="_x0000_i1036"/>
        </w:object>
      </w:r>
      <w:r w:rsidRPr="001576BC">
        <w:rPr>
          <w:rFonts w:ascii="Times New Roman" w:eastAsia="Times New Roman" w:hAnsi="Times New Roman" w:cs="Times New Roman"/>
          <w:vanish/>
          <w:sz w:val="24"/>
          <w:szCs w:val="24"/>
          <w:lang w:eastAsia="tr-TR"/>
        </w:rPr>
        <w:object w:dxaOrig="1440" w:dyaOrig="1440">
          <v:shape id="_x0000_i1035" type="#_x0000_t75" style="width:49.5pt;height:18pt" o:ole="">
            <v:imagedata r:id="rId10" o:title=""/>
          </v:shape>
          <w:control r:id="rId11" w:name="DefaultOcxName3" w:shapeid="_x0000_i1035"/>
        </w:object>
      </w:r>
    </w:p>
    <w:p w:rsidR="00D27A45" w:rsidRDefault="001576BC" w:rsidP="001576BC">
      <w:r w:rsidRPr="001576BC">
        <w:rPr>
          <w:rFonts w:ascii="Times New Roman" w:eastAsia="Times New Roman" w:hAnsi="Times New Roman" w:cs="Times New Roman"/>
          <w:vanish/>
          <w:sz w:val="24"/>
          <w:szCs w:val="24"/>
          <w:lang w:eastAsia="tr-TR"/>
        </w:rPr>
        <w:pict/>
      </w:r>
      <w:bookmarkEnd w:id="0"/>
    </w:p>
    <w:sectPr w:rsidR="00D27A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090"/>
    <w:rsid w:val="001576BC"/>
    <w:rsid w:val="00CB2596"/>
    <w:rsid w:val="00D17090"/>
    <w:rsid w:val="00D27A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635442">
      <w:bodyDiv w:val="1"/>
      <w:marLeft w:val="0"/>
      <w:marRight w:val="0"/>
      <w:marTop w:val="0"/>
      <w:marBottom w:val="0"/>
      <w:divBdr>
        <w:top w:val="none" w:sz="0" w:space="0" w:color="auto"/>
        <w:left w:val="none" w:sz="0" w:space="0" w:color="auto"/>
        <w:bottom w:val="none" w:sz="0" w:space="0" w:color="auto"/>
        <w:right w:val="none" w:sz="0" w:space="0" w:color="auto"/>
      </w:divBdr>
      <w:divsChild>
        <w:div w:id="736980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ntrol" Target="activeX/activeX2.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control" Target="activeX/activeX4.xml"/><Relationship Id="rId5" Type="http://schemas.openxmlformats.org/officeDocument/2006/relationships/image" Target="media/image1.wmf"/><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1609</Words>
  <Characters>9173</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Önal YILMAZ – ASSET GÜMRÜK MÜŞAVİRLİĞİ / İSTANBUL</dc:creator>
  <cp:lastModifiedBy>Önal YILMAZ – ASSET GÜMRÜK MÜŞAVİRLİĞİ / İSTANBUL</cp:lastModifiedBy>
  <cp:revision>2</cp:revision>
  <dcterms:created xsi:type="dcterms:W3CDTF">2016-09-26T05:57:00Z</dcterms:created>
  <dcterms:modified xsi:type="dcterms:W3CDTF">2016-09-26T05:57:00Z</dcterms:modified>
</cp:coreProperties>
</file>