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94" w:rsidRDefault="00703FAF">
      <w:bookmarkStart w:id="0" w:name="_GoBack"/>
      <w:bookmarkEnd w:id="0"/>
      <w:r>
        <w:t>-----</w:t>
      </w:r>
      <w:r w:rsidR="000C65F5">
        <w:t>Ge</w:t>
      </w:r>
      <w:r w:rsidR="00953245">
        <w:t>çici ve yürürlük maddeleri da</w:t>
      </w:r>
      <w:r w:rsidR="00090030">
        <w:t xml:space="preserve">hil 228 maddedir. (4458 Sayılı </w:t>
      </w:r>
      <w:r w:rsidR="00ED567B">
        <w:t xml:space="preserve">Gümrük </w:t>
      </w:r>
      <w:r w:rsidR="00090030">
        <w:t>K</w:t>
      </w:r>
      <w:r w:rsidR="00953245">
        <w:t>anun</w:t>
      </w:r>
      <w:r w:rsidR="00ED567B">
        <w:t>u</w:t>
      </w:r>
      <w:r w:rsidR="00953245">
        <w:t xml:space="preserve"> 248 maddedir</w:t>
      </w:r>
      <w:r w:rsidR="00090030">
        <w:t>.</w:t>
      </w:r>
      <w:r w:rsidR="00953245">
        <w:t>)</w:t>
      </w:r>
    </w:p>
    <w:p w:rsidR="00953245" w:rsidRDefault="00953245">
      <w:r>
        <w:t>--</w:t>
      </w:r>
      <w:r w:rsidR="00CA6275">
        <w:t>---</w:t>
      </w:r>
      <w:r>
        <w:t>Yürürlükten</w:t>
      </w:r>
      <w:r w:rsidR="00090030">
        <w:t xml:space="preserve"> kaldırılan hükümler, geçici </w:t>
      </w:r>
      <w:r>
        <w:t>maddeler ve yürürlük kısmı dahil</w:t>
      </w:r>
      <w:r w:rsidR="00090030">
        <w:t xml:space="preserve"> olmak üzere</w:t>
      </w:r>
      <w:r>
        <w:t xml:space="preserve"> 11 kıs</w:t>
      </w:r>
      <w:r w:rsidR="00090030">
        <w:t xml:space="preserve">ım olarak hazırlanmıştır. (4458 Sayılı </w:t>
      </w:r>
      <w:r w:rsidR="00ED567B">
        <w:t>Gümrük Kanunu</w:t>
      </w:r>
      <w:r>
        <w:t xml:space="preserve"> 13 kısımdır</w:t>
      </w:r>
      <w:r w:rsidR="00090030">
        <w:t>.</w:t>
      </w:r>
      <w:r>
        <w:t>)</w:t>
      </w:r>
    </w:p>
    <w:p w:rsidR="00953245" w:rsidRDefault="00953245">
      <w:r>
        <w:t>--</w:t>
      </w:r>
      <w:r w:rsidR="00CA6275">
        <w:t>---</w:t>
      </w:r>
      <w:r w:rsidR="00090030">
        <w:t xml:space="preserve"> Taslakta, i</w:t>
      </w:r>
      <w:r>
        <w:t xml:space="preserve">şi gereği gümrük mevzuatı kapsamına giren faaliyetlerde bulunan kişiler </w:t>
      </w:r>
      <w:r w:rsidRPr="00090030">
        <w:rPr>
          <w:b/>
        </w:rPr>
        <w:t>Ekonomik Operatör</w:t>
      </w:r>
      <w:r>
        <w:t xml:space="preserve">, Yetkilendirilmiş Yükümlüler de </w:t>
      </w:r>
      <w:r w:rsidRPr="00090030">
        <w:rPr>
          <w:b/>
          <w:color w:val="000000" w:themeColor="text1"/>
        </w:rPr>
        <w:t>Yetkilendirilmiş Ekonomik Operatör</w:t>
      </w:r>
      <w:r w:rsidRPr="00090030">
        <w:rPr>
          <w:color w:val="000000" w:themeColor="text1"/>
        </w:rPr>
        <w:t xml:space="preserve"> </w:t>
      </w:r>
      <w:r>
        <w:t>olarak tanımlanmıştır.</w:t>
      </w:r>
    </w:p>
    <w:p w:rsidR="00F55D08" w:rsidRDefault="00F55D08">
      <w:r>
        <w:t xml:space="preserve">-----Taslakta, gümrük idaresinin talebi doğrultusunda gümrük işlemleri ile ilgili olarak bilgi verilmesi gerektiği durumlarda </w:t>
      </w:r>
      <w:r w:rsidRPr="00ED3413">
        <w:rPr>
          <w:b/>
        </w:rPr>
        <w:t>‘’ gerekli her türlü bilgi, belge ve bunlara ait her türlü ortamdaki kayıtların, bu kayıtlara erişimi sağlamak veya okunabilir hale getirmek için gerekli tüm bilgilerin</w:t>
      </w:r>
      <w:r>
        <w:rPr>
          <w:b/>
        </w:rPr>
        <w:t xml:space="preserve"> ve şifrelerin</w:t>
      </w:r>
      <w:r w:rsidRPr="00ED3413">
        <w:rPr>
          <w:b/>
        </w:rPr>
        <w:t>’’</w:t>
      </w:r>
      <w:r w:rsidR="00866993">
        <w:t xml:space="preserve"> </w:t>
      </w:r>
      <w:r w:rsidRPr="00ED3413">
        <w:t>verilmesi zorunluluğu getirilmektedir.</w:t>
      </w:r>
      <w:r w:rsidR="004909F7">
        <w:t xml:space="preserve"> </w:t>
      </w:r>
    </w:p>
    <w:p w:rsidR="00CA6275" w:rsidRDefault="00953245" w:rsidP="00CA6275">
      <w:pPr>
        <w:spacing w:before="120"/>
        <w:jc w:val="both"/>
        <w:rPr>
          <w:noProof/>
        </w:rPr>
      </w:pPr>
      <w:r>
        <w:t>--</w:t>
      </w:r>
      <w:r w:rsidR="00CA6275">
        <w:t>---</w:t>
      </w:r>
      <w:r w:rsidR="00090030">
        <w:t>Taslakta</w:t>
      </w:r>
      <w:r>
        <w:t xml:space="preserve">, </w:t>
      </w:r>
      <w:r w:rsidRPr="00090030">
        <w:rPr>
          <w:b/>
        </w:rPr>
        <w:t>eşyanın gümrükçe onaylanmış bir işlem veya kullanıma tabi</w:t>
      </w:r>
      <w:r>
        <w:t xml:space="preserve"> tutulması ile ilgili ibareler yer </w:t>
      </w:r>
      <w:r w:rsidRPr="00ED567B">
        <w:rPr>
          <w:b/>
        </w:rPr>
        <w:t>almamaktadır.</w:t>
      </w:r>
      <w:r w:rsidR="005924B0" w:rsidRPr="005924B0">
        <w:rPr>
          <w:noProof/>
        </w:rPr>
        <w:t xml:space="preserve"> </w:t>
      </w:r>
      <w:r w:rsidR="00CA6275">
        <w:rPr>
          <w:noProof/>
        </w:rPr>
        <w:t>Dolayısıyla;</w:t>
      </w:r>
    </w:p>
    <w:p w:rsidR="00953245" w:rsidRDefault="005924B0" w:rsidP="00CA6275">
      <w:pPr>
        <w:spacing w:before="120"/>
        <w:jc w:val="both"/>
        <w:rPr>
          <w:noProof/>
        </w:rPr>
      </w:pPr>
      <w:r>
        <w:rPr>
          <w:noProof/>
        </w:rPr>
        <w:t>Gümrüğe sunulan eşyaya, gümrükçe onaylanmış bir i</w:t>
      </w:r>
      <w:r w:rsidR="00CA6275">
        <w:rPr>
          <w:noProof/>
        </w:rPr>
        <w:t>şlem veya kullanım tayin edileceği ve bu işlemlerin,</w:t>
      </w:r>
      <w:r w:rsidR="00CA6275" w:rsidRPr="00CA6275">
        <w:rPr>
          <w:noProof/>
        </w:rPr>
        <w:t xml:space="preserve"> </w:t>
      </w:r>
      <w:r w:rsidR="00ED567B">
        <w:rPr>
          <w:noProof/>
        </w:rPr>
        <w:t xml:space="preserve">Denizyolu ile gelen eşya için </w:t>
      </w:r>
      <w:r w:rsidR="00CA6275">
        <w:rPr>
          <w:noProof/>
        </w:rPr>
        <w:t>özet beyan</w:t>
      </w:r>
      <w:r w:rsidR="00ED567B">
        <w:rPr>
          <w:noProof/>
        </w:rPr>
        <w:t>ın</w:t>
      </w:r>
      <w:r w:rsidR="00CA6275">
        <w:rPr>
          <w:noProof/>
        </w:rPr>
        <w:t xml:space="preserve"> verildiği tarihten itibaren </w:t>
      </w:r>
      <w:r w:rsidR="00CA6275" w:rsidRPr="00090030">
        <w:rPr>
          <w:b/>
          <w:noProof/>
        </w:rPr>
        <w:t>kırk beş gün</w:t>
      </w:r>
      <w:r w:rsidR="00CA6275">
        <w:rPr>
          <w:noProof/>
        </w:rPr>
        <w:t>,d</w:t>
      </w:r>
      <w:r w:rsidR="00ED567B">
        <w:rPr>
          <w:noProof/>
        </w:rPr>
        <w:t xml:space="preserve">iğer bir yolla gelen eşya için </w:t>
      </w:r>
      <w:r>
        <w:rPr>
          <w:noProof/>
        </w:rPr>
        <w:t xml:space="preserve">özet beyanın verildiği tarihten itibaren </w:t>
      </w:r>
      <w:r w:rsidRPr="00090030">
        <w:rPr>
          <w:b/>
          <w:noProof/>
        </w:rPr>
        <w:t>yirmi gün</w:t>
      </w:r>
      <w:r w:rsidR="00CA6275">
        <w:rPr>
          <w:noProof/>
        </w:rPr>
        <w:t xml:space="preserve"> içinde tamamlanması gerektiği hükümleri de yer </w:t>
      </w:r>
      <w:r w:rsidR="00CA6275" w:rsidRPr="00ED567B">
        <w:rPr>
          <w:b/>
          <w:noProof/>
        </w:rPr>
        <w:t>almamaktadır.</w:t>
      </w:r>
    </w:p>
    <w:p w:rsidR="00CA6275" w:rsidRPr="00090030" w:rsidRDefault="00CA6275" w:rsidP="00090030">
      <w:pPr>
        <w:rPr>
          <w:color w:val="000000" w:themeColor="text1"/>
        </w:rPr>
      </w:pPr>
      <w:r>
        <w:rPr>
          <w:color w:val="000000" w:themeColor="text1"/>
          <w:szCs w:val="24"/>
        </w:rPr>
        <w:t>Buna karşılık t</w:t>
      </w:r>
      <w:r w:rsidRPr="005924B0">
        <w:rPr>
          <w:color w:val="000000" w:themeColor="text1"/>
          <w:szCs w:val="24"/>
        </w:rPr>
        <w:t xml:space="preserve">aslakta, Geçici depolanan serbest dolaşımda bulunmayan eşyanın bir gümrük rejimine tabi tutulması veya yeniden ihraç edilmesine ilişkin </w:t>
      </w:r>
      <w:r w:rsidRPr="00090030">
        <w:rPr>
          <w:b/>
          <w:color w:val="000000" w:themeColor="text1"/>
          <w:szCs w:val="24"/>
        </w:rPr>
        <w:t>işlemler eşyanın gümrüğe sunulduğu tarihten itibaren doksan gün içinde</w:t>
      </w:r>
      <w:r w:rsidRPr="005924B0">
        <w:rPr>
          <w:color w:val="000000" w:themeColor="text1"/>
          <w:szCs w:val="24"/>
        </w:rPr>
        <w:t xml:space="preserve"> </w:t>
      </w:r>
      <w:r>
        <w:rPr>
          <w:color w:val="000000" w:themeColor="text1"/>
          <w:szCs w:val="24"/>
        </w:rPr>
        <w:t>tamamlanır ibaresi yer almaktadır.</w:t>
      </w:r>
      <w:r w:rsidR="004F0D82">
        <w:rPr>
          <w:color w:val="000000" w:themeColor="text1"/>
          <w:szCs w:val="24"/>
        </w:rPr>
        <w:t xml:space="preserve"> Bu süre içerisinde işlemeleri tamamlan</w:t>
      </w:r>
      <w:r w:rsidR="00866993">
        <w:rPr>
          <w:color w:val="000000" w:themeColor="text1"/>
          <w:szCs w:val="24"/>
        </w:rPr>
        <w:t>a</w:t>
      </w:r>
      <w:r w:rsidR="004F0D82">
        <w:rPr>
          <w:color w:val="000000" w:themeColor="text1"/>
          <w:szCs w:val="24"/>
        </w:rPr>
        <w:t>mayan eşya tasfiye edilecektir.</w:t>
      </w:r>
      <w:r w:rsidR="00227881">
        <w:rPr>
          <w:color w:val="000000" w:themeColor="text1"/>
          <w:szCs w:val="24"/>
        </w:rPr>
        <w:t xml:space="preserve"> </w:t>
      </w:r>
    </w:p>
    <w:p w:rsidR="00953245" w:rsidRPr="00090030" w:rsidRDefault="00953245">
      <w:pPr>
        <w:rPr>
          <w:b/>
          <w:noProof/>
        </w:rPr>
      </w:pPr>
      <w:r w:rsidRPr="00090030">
        <w:rPr>
          <w:b/>
          <w:noProof/>
        </w:rPr>
        <w:t>--</w:t>
      </w:r>
      <w:r w:rsidR="00CA6275" w:rsidRPr="00090030">
        <w:rPr>
          <w:b/>
          <w:noProof/>
        </w:rPr>
        <w:t>---</w:t>
      </w:r>
      <w:r w:rsidRPr="00090030">
        <w:rPr>
          <w:b/>
          <w:noProof/>
        </w:rPr>
        <w:t>Gümrük rejimleri;</w:t>
      </w:r>
    </w:p>
    <w:p w:rsidR="00953245" w:rsidRDefault="00495CFB">
      <w:pPr>
        <w:rPr>
          <w:noProof/>
        </w:rPr>
      </w:pPr>
      <w:r>
        <w:rPr>
          <w:noProof/>
        </w:rPr>
        <w:t>1-Serbest dolaşıma giriş rejimi</w:t>
      </w:r>
    </w:p>
    <w:p w:rsidR="00953245" w:rsidRDefault="00495CFB">
      <w:pPr>
        <w:rPr>
          <w:noProof/>
        </w:rPr>
      </w:pPr>
      <w:r>
        <w:rPr>
          <w:noProof/>
        </w:rPr>
        <w:t>2-İhracat rejimi</w:t>
      </w:r>
    </w:p>
    <w:p w:rsidR="00953245" w:rsidRDefault="00495CFB">
      <w:pPr>
        <w:rPr>
          <w:noProof/>
        </w:rPr>
      </w:pPr>
      <w:r>
        <w:rPr>
          <w:noProof/>
        </w:rPr>
        <w:t>3-Özel rejimler</w:t>
      </w:r>
    </w:p>
    <w:p w:rsidR="00953245" w:rsidRDefault="00953245">
      <w:pPr>
        <w:rPr>
          <w:noProof/>
        </w:rPr>
      </w:pPr>
      <w:r>
        <w:rPr>
          <w:noProof/>
        </w:rPr>
        <w:t>--</w:t>
      </w:r>
      <w:r w:rsidR="00495CFB">
        <w:rPr>
          <w:noProof/>
        </w:rPr>
        <w:t>A</w:t>
      </w:r>
      <w:r>
        <w:rPr>
          <w:noProof/>
        </w:rPr>
        <w:t>-Transit rejimi</w:t>
      </w:r>
    </w:p>
    <w:p w:rsidR="00953245" w:rsidRDefault="000C65F5">
      <w:pPr>
        <w:rPr>
          <w:noProof/>
        </w:rPr>
      </w:pPr>
      <w:r>
        <w:rPr>
          <w:noProof/>
        </w:rPr>
        <w:t>--</w:t>
      </w:r>
      <w:r w:rsidR="00495CFB">
        <w:rPr>
          <w:noProof/>
        </w:rPr>
        <w:t>B</w:t>
      </w:r>
      <w:r w:rsidR="00953245">
        <w:rPr>
          <w:noProof/>
        </w:rPr>
        <w:t>-Depolama rejimleri</w:t>
      </w:r>
    </w:p>
    <w:p w:rsidR="00953245" w:rsidRDefault="000C65F5">
      <w:pPr>
        <w:rPr>
          <w:noProof/>
        </w:rPr>
      </w:pPr>
      <w:r>
        <w:rPr>
          <w:noProof/>
        </w:rPr>
        <w:t>--------</w:t>
      </w:r>
      <w:r w:rsidR="00090030">
        <w:rPr>
          <w:noProof/>
        </w:rPr>
        <w:t>1-Gümrük a</w:t>
      </w:r>
      <w:r w:rsidR="00953245">
        <w:rPr>
          <w:noProof/>
        </w:rPr>
        <w:t>ntrepo rejimi</w:t>
      </w:r>
    </w:p>
    <w:p w:rsidR="00953245" w:rsidRDefault="000C65F5">
      <w:pPr>
        <w:rPr>
          <w:noProof/>
        </w:rPr>
      </w:pPr>
      <w:r>
        <w:rPr>
          <w:noProof/>
        </w:rPr>
        <w:t>--------</w:t>
      </w:r>
      <w:r w:rsidR="00953245">
        <w:rPr>
          <w:noProof/>
        </w:rPr>
        <w:t>2-Serbest Bölgeler rejimi</w:t>
      </w:r>
    </w:p>
    <w:p w:rsidR="00953245" w:rsidRDefault="000C65F5">
      <w:pPr>
        <w:rPr>
          <w:noProof/>
        </w:rPr>
      </w:pPr>
      <w:r>
        <w:rPr>
          <w:noProof/>
        </w:rPr>
        <w:t>--</w:t>
      </w:r>
      <w:r w:rsidR="00495CFB">
        <w:rPr>
          <w:noProof/>
        </w:rPr>
        <w:t>C</w:t>
      </w:r>
      <w:r w:rsidR="00953245">
        <w:rPr>
          <w:noProof/>
        </w:rPr>
        <w:t>-Özel Kullanım rejimleri</w:t>
      </w:r>
    </w:p>
    <w:p w:rsidR="00953245" w:rsidRDefault="00BB1C5A">
      <w:pPr>
        <w:rPr>
          <w:noProof/>
        </w:rPr>
      </w:pPr>
      <w:r>
        <w:rPr>
          <w:noProof/>
        </w:rPr>
        <w:t>--------</w:t>
      </w:r>
      <w:r w:rsidR="00953245">
        <w:rPr>
          <w:noProof/>
        </w:rPr>
        <w:t>1-Geçici kabul rejimi</w:t>
      </w:r>
    </w:p>
    <w:p w:rsidR="00953245" w:rsidRDefault="00BB1C5A">
      <w:pPr>
        <w:rPr>
          <w:noProof/>
        </w:rPr>
      </w:pPr>
      <w:r>
        <w:rPr>
          <w:noProof/>
        </w:rPr>
        <w:t>--------</w:t>
      </w:r>
      <w:r w:rsidR="00953245">
        <w:rPr>
          <w:noProof/>
        </w:rPr>
        <w:t>2-</w:t>
      </w:r>
      <w:r w:rsidR="00495CFB">
        <w:rPr>
          <w:noProof/>
        </w:rPr>
        <w:t>Nihai kullanım rejimi</w:t>
      </w:r>
    </w:p>
    <w:p w:rsidR="00495CFB" w:rsidRDefault="00BB1C5A">
      <w:pPr>
        <w:rPr>
          <w:noProof/>
        </w:rPr>
      </w:pPr>
      <w:r>
        <w:rPr>
          <w:noProof/>
        </w:rPr>
        <w:t xml:space="preserve"> --</w:t>
      </w:r>
      <w:r w:rsidR="00495CFB">
        <w:rPr>
          <w:noProof/>
        </w:rPr>
        <w:t>D-İşleme rejimleri</w:t>
      </w:r>
    </w:p>
    <w:p w:rsidR="00495CFB" w:rsidRDefault="00BB1C5A">
      <w:pPr>
        <w:rPr>
          <w:noProof/>
        </w:rPr>
      </w:pPr>
      <w:r>
        <w:rPr>
          <w:noProof/>
        </w:rPr>
        <w:t>--------</w:t>
      </w:r>
      <w:r w:rsidR="00495CFB">
        <w:rPr>
          <w:noProof/>
        </w:rPr>
        <w:t>1-Dahilde işleme rejimi</w:t>
      </w:r>
    </w:p>
    <w:p w:rsidR="00F55D08" w:rsidRDefault="00BB1C5A">
      <w:pPr>
        <w:rPr>
          <w:noProof/>
        </w:rPr>
      </w:pPr>
      <w:r>
        <w:rPr>
          <w:noProof/>
        </w:rPr>
        <w:t>--------</w:t>
      </w:r>
      <w:r w:rsidR="00495CFB">
        <w:rPr>
          <w:noProof/>
        </w:rPr>
        <w:t>2-Hariçte işleme rejimi</w:t>
      </w:r>
    </w:p>
    <w:p w:rsidR="00495CFB" w:rsidRDefault="00495CFB">
      <w:pPr>
        <w:rPr>
          <w:noProof/>
        </w:rPr>
      </w:pPr>
      <w:r>
        <w:rPr>
          <w:noProof/>
        </w:rPr>
        <w:t xml:space="preserve">olarak düzenlenmiştir. Serbest bölgeler ve nihai kullanım işlemleri </w:t>
      </w:r>
      <w:r w:rsidR="00090030">
        <w:rPr>
          <w:noProof/>
        </w:rPr>
        <w:t>gümrük rejimi olarak</w:t>
      </w:r>
      <w:r>
        <w:rPr>
          <w:noProof/>
        </w:rPr>
        <w:t xml:space="preserve"> düzenlemiş, gümrük kontrolü altında işleme rejimine yer </w:t>
      </w:r>
      <w:r w:rsidRPr="00ED567B">
        <w:rPr>
          <w:b/>
          <w:noProof/>
        </w:rPr>
        <w:t>verilmemiştir.</w:t>
      </w:r>
      <w:r w:rsidR="003D4E81">
        <w:rPr>
          <w:color w:val="000000" w:themeColor="text1"/>
          <w:szCs w:val="24"/>
        </w:rPr>
        <w:t xml:space="preserve"> </w:t>
      </w:r>
    </w:p>
    <w:p w:rsidR="00495CFB" w:rsidRDefault="00495CFB">
      <w:pPr>
        <w:rPr>
          <w:color w:val="000000" w:themeColor="text1"/>
          <w:szCs w:val="24"/>
        </w:rPr>
      </w:pPr>
      <w:r>
        <w:rPr>
          <w:noProof/>
        </w:rPr>
        <w:lastRenderedPageBreak/>
        <w:t>--</w:t>
      </w:r>
      <w:r w:rsidR="00CA6275">
        <w:rPr>
          <w:noProof/>
        </w:rPr>
        <w:t>---</w:t>
      </w:r>
      <w:r>
        <w:rPr>
          <w:noProof/>
        </w:rPr>
        <w:t>Fikri ve sınai mülkiyet haklarının gümrüklerde korunması ile ilgili mevzuat, kişilerin gümrük mevzuatına ilişkin hak ve yükümlülükleri bölümünde ayrıca düzenlenmiştir.</w:t>
      </w:r>
      <w:r w:rsidR="003D4E81">
        <w:rPr>
          <w:color w:val="000000" w:themeColor="text1"/>
          <w:szCs w:val="24"/>
        </w:rPr>
        <w:t xml:space="preserve"> </w:t>
      </w:r>
    </w:p>
    <w:p w:rsidR="007124BC" w:rsidRDefault="007124BC">
      <w:pPr>
        <w:rPr>
          <w:noProof/>
        </w:rPr>
      </w:pPr>
      <w:r>
        <w:rPr>
          <w:color w:val="000000" w:themeColor="text1"/>
          <w:szCs w:val="24"/>
        </w:rPr>
        <w:t>-----T</w:t>
      </w:r>
      <w:r>
        <w:rPr>
          <w:noProof/>
        </w:rPr>
        <w:t>aslakta, 4458 sayılı kanunda yer alan ‘</w:t>
      </w:r>
      <w:r>
        <w:rPr>
          <w:b/>
          <w:noProof/>
        </w:rPr>
        <w:t>’Gümrük mevzuatı uyarınca, gümrük idarelerinin gümrük vergilerinin ve diğer amme alacaklarının ödenmesini sağlamak üzere bir teminat verilmesini gerekli görmeleri halinde, bu teminat söz konusu vergiler tutarının % 20 fazlasıyla verilir’’</w:t>
      </w:r>
      <w:r>
        <w:rPr>
          <w:noProof/>
        </w:rPr>
        <w:t xml:space="preserve"> hükmü yer almamakkta olup, teminatlar zorunlu ve ihtiyari olarak iki grupta açıklanmaktadır.</w:t>
      </w:r>
    </w:p>
    <w:p w:rsidR="00AB3B14" w:rsidRDefault="0094376D" w:rsidP="00AB3B14">
      <w:pPr>
        <w:spacing w:before="120"/>
        <w:jc w:val="both"/>
      </w:pPr>
      <w:r>
        <w:rPr>
          <w:noProof/>
        </w:rPr>
        <w:t>-----Taslakta,</w:t>
      </w:r>
      <w:r>
        <w:t>‘</w:t>
      </w:r>
      <w:r w:rsidRPr="00D70AC7">
        <w:rPr>
          <w:b/>
        </w:rPr>
        <w:t>’İthal eşyasının beyan edilen gümrük kıymetinin; aynı veya benzer eşya kıymetlerinden,  uluslararası borsa veya piyasa fiyatlarından, yetkili distribütörlerce yapılan ithalatlardaki kıymetlerden, Bakanlıkça piyasa bilgilerinden derlenerek gümrük idarelerine kıymet kontrolü amacıyla bildirilen veri kıymetlerden önemli ölçüde farklı olması’’</w:t>
      </w:r>
      <w:r w:rsidRPr="00D70AC7">
        <w:t xml:space="preserve"> durumunda, gümrük idaresine kıymet araştı</w:t>
      </w:r>
      <w:r w:rsidR="00866993">
        <w:t>rmasına gitme yetkisi yer almakta</w:t>
      </w:r>
      <w:r w:rsidRPr="00D70AC7">
        <w:t>, verilen ek belge ve bilgilerin yeterli görülmemesi durumunda Gümrük kanunundaki kıymet belirleme usullerine göre(aynı veya benzeri eşya</w:t>
      </w:r>
      <w:r>
        <w:t xml:space="preserve"> kıymetleri</w:t>
      </w:r>
      <w:r w:rsidRPr="00D70AC7">
        <w:t xml:space="preserve"> vb.) işlem yapma yetkisi verilmektedir</w:t>
      </w:r>
      <w:r w:rsidR="00AB3B14">
        <w:t>.</w:t>
      </w:r>
    </w:p>
    <w:p w:rsidR="00AB3B14" w:rsidRDefault="00AB3B14" w:rsidP="00AB3B14">
      <w:pPr>
        <w:spacing w:before="120"/>
        <w:jc w:val="both"/>
      </w:pPr>
      <w:r w:rsidRPr="00AB3B14">
        <w:t xml:space="preserve"> </w:t>
      </w:r>
      <w:r>
        <w:t>Madde incelendiğinde iki farklı durum ortaya çıkmaktadır.</w:t>
      </w:r>
    </w:p>
    <w:p w:rsidR="00AB3B14" w:rsidRPr="00D70AC7" w:rsidRDefault="00AB3B14" w:rsidP="00AB3B14">
      <w:pPr>
        <w:spacing w:before="120"/>
        <w:jc w:val="both"/>
      </w:pPr>
      <w:r>
        <w:t>--Düzenleme, Gümrük K</w:t>
      </w:r>
      <w:r w:rsidRPr="00AB3B14">
        <w:t>anununun</w:t>
      </w:r>
      <w:r>
        <w:t xml:space="preserve"> 24. Maddesinin ‘’</w:t>
      </w:r>
      <w:r w:rsidRPr="00D70AC7">
        <w:rPr>
          <w:b/>
        </w:rPr>
        <w:t>İthal eşyasının gümrük kıymeti, eşyanın satış bedelidir. Satış bedeli, Türkiye'ye ihraç amacıyla yapılan satışta, gerekli düzeltmelerin de yapıldığı, fiilen ödenen veya ödenecek fiyattır.</w:t>
      </w:r>
      <w:r w:rsidRPr="00D70AC7">
        <w:t>’’ hükmüyle çelişmektedir. Ayrıca bu şekilde yapılac</w:t>
      </w:r>
      <w:r>
        <w:t>ak bir düzenleme GATT kıymet an</w:t>
      </w:r>
      <w:r w:rsidRPr="00D70AC7">
        <w:t xml:space="preserve">laşmasının 7. Maddesi </w:t>
      </w:r>
      <w:r>
        <w:t>ile de çelişecektir. Borsa, aynı veya benzer eşya ya da distribütör kıymetleri her zaman ödenen gerçek fiyatı yansıtmayabilir.</w:t>
      </w:r>
    </w:p>
    <w:p w:rsidR="00AB3B14" w:rsidRDefault="00AB3B14" w:rsidP="00AB3B14">
      <w:pPr>
        <w:spacing w:before="120"/>
        <w:jc w:val="both"/>
      </w:pPr>
      <w:r>
        <w:t>Ayrıca k</w:t>
      </w:r>
      <w:r w:rsidRPr="00D70AC7">
        <w:t>ıymet araştırması ile ilgili istenilen evraklar, ilgili firmanın ticari sır olarak</w:t>
      </w:r>
      <w:r>
        <w:t xml:space="preserve"> değerlendirebileceği bilgileri </w:t>
      </w:r>
      <w:r w:rsidRPr="00D70AC7">
        <w:t>içerebilir.</w:t>
      </w:r>
      <w:r>
        <w:t xml:space="preserve"> </w:t>
      </w:r>
      <w:r w:rsidRPr="00D70AC7">
        <w:t>(Örneğin satış sözleşmesi</w:t>
      </w:r>
      <w:r>
        <w:t>)</w:t>
      </w:r>
    </w:p>
    <w:p w:rsidR="00AB3B14" w:rsidRDefault="00AB3B14" w:rsidP="00AB3B14">
      <w:pPr>
        <w:spacing w:before="120"/>
        <w:jc w:val="both"/>
      </w:pPr>
      <w:r>
        <w:t>--Diğer taraftan, Borsa, aynı veya benzer eşya ya da distribütör kıymetlerinin dikkate alınacak olmasının olumlu tarafı da olabilir. Örneğin eşyanın satış suretiyle devredilmesi durumunda, devir fiyatının ilk fiyattan düşük olması durumu, borsa fiyatlarının düşmesi ile açıkl</w:t>
      </w:r>
      <w:r w:rsidR="00227881">
        <w:t>anabilir duruma gelebilecektir.</w:t>
      </w:r>
    </w:p>
    <w:p w:rsidR="004909F7" w:rsidRDefault="0094376D" w:rsidP="004909F7">
      <w:r>
        <w:t>-------Taslakta, ‘</w:t>
      </w:r>
      <w:r w:rsidRPr="009D7608">
        <w:rPr>
          <w:b/>
        </w:rPr>
        <w:t>’Gümrük vergileri ile bunların ödenmelerine bağlı olarak tahsil edilmiş gecikme faizinin geri verilmesi durumunun oluşması halinde, geri vermeye konu fazla tahsilatın yükümlüden kaynaklanması durumunda geri verme başvurusunun yapıldığı tarihten, diğer durumlarda ise tahsilat tarihinden geri verme kararının yükümlüye tebliğ edildiği tarihe kadar geçen süre için 6183 sayılı Kanuna göre belirlenen tecil faizi oranında hesaplanan faiz ödenir</w:t>
      </w:r>
      <w:r w:rsidRPr="009D7608">
        <w:t xml:space="preserve">.’’ </w:t>
      </w:r>
      <w:r w:rsidR="00866993">
        <w:t>ş</w:t>
      </w:r>
      <w:r>
        <w:t>ek</w:t>
      </w:r>
      <w:r w:rsidR="00866993">
        <w:t>linde düzenleme yer almaktadır</w:t>
      </w:r>
      <w:r>
        <w:t>.</w:t>
      </w:r>
      <w:r w:rsidR="004909F7">
        <w:t xml:space="preserve"> Kanunun şu andaki hükmü </w:t>
      </w:r>
      <w:r w:rsidR="004909F7" w:rsidRPr="003D06C1">
        <w:rPr>
          <w:b/>
        </w:rPr>
        <w:t>‘</w:t>
      </w:r>
      <w:r w:rsidR="004909F7" w:rsidRPr="00427A46">
        <w:rPr>
          <w:b/>
        </w:rPr>
        <w:t>’</w:t>
      </w:r>
      <w:r w:rsidR="004909F7" w:rsidRPr="003D06C1">
        <w:rPr>
          <w:b/>
        </w:rPr>
        <w:t>geri verme kararının alındığı tarihten itibaren üç ay içerisinde idarece söz</w:t>
      </w:r>
      <w:r w:rsidR="004909F7">
        <w:rPr>
          <w:b/>
        </w:rPr>
        <w:t xml:space="preserve"> </w:t>
      </w:r>
      <w:r w:rsidR="004909F7" w:rsidRPr="003D06C1">
        <w:rPr>
          <w:b/>
        </w:rPr>
        <w:t>konusu kararın uygulanmaması halinde, ilgilinin talebi üzerine, üç aylık sürenin bitiminden itibaren faiz ödenir</w:t>
      </w:r>
      <w:r w:rsidR="00227881">
        <w:rPr>
          <w:rFonts w:ascii="Times New Roman" w:hAnsi="Times New Roman" w:cs="Times New Roman"/>
          <w:b/>
          <w:sz w:val="24"/>
          <w:szCs w:val="24"/>
        </w:rPr>
        <w:t xml:space="preserve">’’ </w:t>
      </w:r>
      <w:r w:rsidR="00227881" w:rsidRPr="00227881">
        <w:rPr>
          <w:noProof/>
        </w:rPr>
        <w:t>şeklindedir.</w:t>
      </w:r>
    </w:p>
    <w:p w:rsidR="00495CFB" w:rsidRDefault="00976062">
      <w:pPr>
        <w:rPr>
          <w:noProof/>
        </w:rPr>
      </w:pPr>
      <w:r>
        <w:rPr>
          <w:noProof/>
        </w:rPr>
        <w:t>--</w:t>
      </w:r>
      <w:r w:rsidR="00CA6275">
        <w:rPr>
          <w:noProof/>
        </w:rPr>
        <w:t>---</w:t>
      </w:r>
      <w:r>
        <w:rPr>
          <w:noProof/>
        </w:rPr>
        <w:t xml:space="preserve">Bağlayıcı tarife bilgisinin süresi </w:t>
      </w:r>
      <w:r w:rsidRPr="00BB1C5A">
        <w:rPr>
          <w:b/>
          <w:noProof/>
        </w:rPr>
        <w:t>3</w:t>
      </w:r>
      <w:r>
        <w:rPr>
          <w:noProof/>
        </w:rPr>
        <w:t xml:space="preserve"> yı</w:t>
      </w:r>
      <w:r w:rsidR="000C65F5">
        <w:rPr>
          <w:noProof/>
        </w:rPr>
        <w:t>l olarak düzenlenmiştir. (4458 Sayılı</w:t>
      </w:r>
      <w:r w:rsidR="00ED567B">
        <w:rPr>
          <w:noProof/>
        </w:rPr>
        <w:t xml:space="preserve"> Gümrük</w:t>
      </w:r>
      <w:r w:rsidR="000C65F5">
        <w:rPr>
          <w:noProof/>
        </w:rPr>
        <w:t xml:space="preserve"> K</w:t>
      </w:r>
      <w:r w:rsidR="00ED567B">
        <w:rPr>
          <w:noProof/>
        </w:rPr>
        <w:t>anununda</w:t>
      </w:r>
      <w:r>
        <w:rPr>
          <w:noProof/>
        </w:rPr>
        <w:t xml:space="preserve"> 6 yıl)</w:t>
      </w:r>
    </w:p>
    <w:p w:rsidR="00976062" w:rsidRDefault="00976062">
      <w:pPr>
        <w:rPr>
          <w:noProof/>
        </w:rPr>
      </w:pPr>
      <w:r>
        <w:rPr>
          <w:noProof/>
        </w:rPr>
        <w:t>--</w:t>
      </w:r>
      <w:r w:rsidR="00CA6275">
        <w:rPr>
          <w:noProof/>
        </w:rPr>
        <w:t>---</w:t>
      </w:r>
      <w:r>
        <w:rPr>
          <w:noProof/>
        </w:rPr>
        <w:t xml:space="preserve">Kişilerin, Gümrük idarelerinin kararlarına karşı itiraz etmeden </w:t>
      </w:r>
      <w:r w:rsidRPr="000C65F5">
        <w:rPr>
          <w:b/>
          <w:noProof/>
          <w:color w:val="000000" w:themeColor="text1"/>
        </w:rPr>
        <w:t>doğrudan dava açabilmeleri yönünde</w:t>
      </w:r>
      <w:r>
        <w:rPr>
          <w:noProof/>
        </w:rPr>
        <w:t xml:space="preserve"> düzenleme yapılmıştır.</w:t>
      </w:r>
      <w:r w:rsidR="003D4E81" w:rsidRPr="003D4E81">
        <w:rPr>
          <w:color w:val="000000" w:themeColor="text1"/>
          <w:szCs w:val="24"/>
          <w:highlight w:val="yellow"/>
        </w:rPr>
        <w:t xml:space="preserve"> </w:t>
      </w:r>
    </w:p>
    <w:p w:rsidR="004909F7" w:rsidRDefault="00103353">
      <w:pPr>
        <w:rPr>
          <w:noProof/>
        </w:rPr>
      </w:pPr>
      <w:r>
        <w:rPr>
          <w:noProof/>
        </w:rPr>
        <w:t>--</w:t>
      </w:r>
      <w:r w:rsidR="00CA6275">
        <w:rPr>
          <w:noProof/>
        </w:rPr>
        <w:t>---</w:t>
      </w:r>
      <w:r>
        <w:rPr>
          <w:noProof/>
        </w:rPr>
        <w:t xml:space="preserve">Hiç alınmadığı veya noksan alındığı tespit edilen vergilere ilişkin tebligat, 4458 sayılı kanuna göre </w:t>
      </w:r>
      <w:r w:rsidRPr="00BB1C5A">
        <w:rPr>
          <w:b/>
          <w:noProof/>
        </w:rPr>
        <w:t>gümrük yükümlülüğünün doğduğu tarihten itibaren 3 yıl</w:t>
      </w:r>
      <w:r>
        <w:rPr>
          <w:noProof/>
        </w:rPr>
        <w:t xml:space="preserve"> içinde yapılıyorken, taslakta bu süre, </w:t>
      </w:r>
      <w:r w:rsidRPr="00BB1C5A">
        <w:rPr>
          <w:b/>
          <w:noProof/>
        </w:rPr>
        <w:t xml:space="preserve">vergi yükümlülüğünün doğduğu tarihi takip eden yılbaşından itibaren 3 yıl </w:t>
      </w:r>
      <w:r>
        <w:rPr>
          <w:noProof/>
        </w:rPr>
        <w:t>olarak düzenlenmiştir.</w:t>
      </w:r>
    </w:p>
    <w:p w:rsidR="00976062" w:rsidRDefault="00103353">
      <w:pPr>
        <w:rPr>
          <w:noProof/>
        </w:rPr>
      </w:pPr>
      <w:r w:rsidRPr="00090030">
        <w:rPr>
          <w:noProof/>
        </w:rPr>
        <w:t>--</w:t>
      </w:r>
      <w:r w:rsidR="00CA6275" w:rsidRPr="00090030">
        <w:rPr>
          <w:noProof/>
        </w:rPr>
        <w:t>---</w:t>
      </w:r>
      <w:r w:rsidRPr="00090030">
        <w:rPr>
          <w:noProof/>
        </w:rPr>
        <w:t xml:space="preserve"> Gerekli teminatın sağlanmış olması şartıyla ve talep edilmesi halinde, yetkilendirilmiş ekonomik operatör statüsü tanınan kişinin tek bir beyanına </w:t>
      </w:r>
      <w:r w:rsidRPr="00BB1C5A">
        <w:rPr>
          <w:b/>
          <w:noProof/>
        </w:rPr>
        <w:t>ilişkin gümrük vergilerinin ödenmesi, tebliğ tarihini izleyen günden itibar</w:t>
      </w:r>
      <w:r w:rsidR="009D2015" w:rsidRPr="00BB1C5A">
        <w:rPr>
          <w:b/>
          <w:noProof/>
        </w:rPr>
        <w:t xml:space="preserve">en otuz güne kadar </w:t>
      </w:r>
      <w:r w:rsidR="009D2015" w:rsidRPr="00090030">
        <w:rPr>
          <w:noProof/>
        </w:rPr>
        <w:t>ertelenebilecektir.</w:t>
      </w:r>
      <w:r w:rsidR="00492843" w:rsidRPr="003D4E81">
        <w:rPr>
          <w:color w:val="000000" w:themeColor="text1"/>
          <w:szCs w:val="24"/>
          <w:highlight w:val="yellow"/>
        </w:rPr>
        <w:t xml:space="preserve"> </w:t>
      </w:r>
    </w:p>
    <w:p w:rsidR="00ED567B" w:rsidRPr="00090030" w:rsidRDefault="00ED567B">
      <w:pPr>
        <w:rPr>
          <w:noProof/>
        </w:rPr>
      </w:pPr>
      <w:r>
        <w:rPr>
          <w:noProof/>
        </w:rPr>
        <w:lastRenderedPageBreak/>
        <w:t xml:space="preserve">Ayrıca, </w:t>
      </w:r>
      <w:r>
        <w:rPr>
          <w:szCs w:val="24"/>
        </w:rPr>
        <w:t>Y</w:t>
      </w:r>
      <w:r w:rsidRPr="00530EB4">
        <w:rPr>
          <w:szCs w:val="24"/>
        </w:rPr>
        <w:t>etkile</w:t>
      </w:r>
      <w:r>
        <w:rPr>
          <w:szCs w:val="24"/>
        </w:rPr>
        <w:t>ndirilmiş Ekonomik O</w:t>
      </w:r>
      <w:r w:rsidRPr="00530EB4">
        <w:rPr>
          <w:szCs w:val="24"/>
        </w:rPr>
        <w:t>peratör statüsü tanınan kişinin bir takvim ayı içerisinde işlem gören birden fazla beyanına ilişkin gümrük vergilerinin toplu</w:t>
      </w:r>
      <w:r>
        <w:rPr>
          <w:szCs w:val="24"/>
        </w:rPr>
        <w:t xml:space="preserve"> olarak ödenebilmesi yönünde düzenleme yapılmıştır.</w:t>
      </w:r>
      <w:r w:rsidR="00492843" w:rsidRPr="003D4E81">
        <w:rPr>
          <w:color w:val="000000" w:themeColor="text1"/>
          <w:szCs w:val="24"/>
          <w:highlight w:val="yellow"/>
        </w:rPr>
        <w:t xml:space="preserve"> </w:t>
      </w:r>
    </w:p>
    <w:p w:rsidR="000677B9" w:rsidRDefault="000677B9" w:rsidP="000677B9">
      <w:pPr>
        <w:spacing w:after="0" w:line="276" w:lineRule="auto"/>
        <w:contextualSpacing/>
        <w:jc w:val="both"/>
        <w:rPr>
          <w:rFonts w:ascii="Times New Roman" w:eastAsia="Times New Roman" w:hAnsi="Times New Roman" w:cs="Times New Roman"/>
          <w:sz w:val="24"/>
          <w:szCs w:val="24"/>
          <w:lang w:eastAsia="tr-TR"/>
        </w:rPr>
      </w:pPr>
      <w:r>
        <w:rPr>
          <w:noProof/>
        </w:rPr>
        <w:t>-----</w:t>
      </w:r>
      <w:r w:rsidRPr="000677B9">
        <w:rPr>
          <w:noProof/>
        </w:rPr>
        <w:t>Gümrük beyannamesi</w:t>
      </w:r>
      <w:r w:rsidRPr="00090030">
        <w:rPr>
          <w:noProof/>
        </w:rPr>
        <w:t>nin</w:t>
      </w:r>
      <w:r w:rsidRPr="000677B9">
        <w:rPr>
          <w:noProof/>
        </w:rPr>
        <w:t xml:space="preserve"> </w:t>
      </w:r>
      <w:r w:rsidRPr="000677B9">
        <w:rPr>
          <w:b/>
          <w:noProof/>
        </w:rPr>
        <w:t>eşyanın gümrüğ</w:t>
      </w:r>
      <w:r w:rsidRPr="00BB1C5A">
        <w:rPr>
          <w:b/>
          <w:noProof/>
        </w:rPr>
        <w:t>e sunulmasından önce</w:t>
      </w:r>
      <w:r w:rsidRPr="00090030">
        <w:rPr>
          <w:noProof/>
        </w:rPr>
        <w:t xml:space="preserve"> verilebilmesi ile ilgili düzenleme yapılmıştır. Bu</w:t>
      </w:r>
      <w:r>
        <w:rPr>
          <w:rFonts w:ascii="Times New Roman" w:eastAsia="Times New Roman" w:hAnsi="Times New Roman" w:cs="Times New Roman"/>
          <w:sz w:val="24"/>
          <w:szCs w:val="24"/>
          <w:lang w:eastAsia="tr-TR"/>
        </w:rPr>
        <w:t xml:space="preserve"> durumda</w:t>
      </w:r>
      <w:r w:rsidRPr="000677B9">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b</w:t>
      </w:r>
      <w:r w:rsidRPr="000677B9">
        <w:rPr>
          <w:rFonts w:ascii="Times New Roman" w:eastAsia="Times New Roman" w:hAnsi="Times New Roman" w:cs="Times New Roman"/>
          <w:sz w:val="24"/>
          <w:szCs w:val="24"/>
          <w:lang w:eastAsia="tr-TR"/>
        </w:rPr>
        <w:t xml:space="preserve">eyannamenin verilmesinden itibaren </w:t>
      </w:r>
      <w:r w:rsidRPr="000677B9">
        <w:rPr>
          <w:rFonts w:ascii="Times New Roman" w:eastAsia="Times New Roman" w:hAnsi="Times New Roman" w:cs="Times New Roman"/>
          <w:b/>
          <w:sz w:val="24"/>
          <w:szCs w:val="24"/>
          <w:lang w:eastAsia="tr-TR"/>
        </w:rPr>
        <w:t>otuz gün</w:t>
      </w:r>
      <w:r w:rsidRPr="000677B9">
        <w:rPr>
          <w:rFonts w:ascii="Times New Roman" w:eastAsia="Times New Roman" w:hAnsi="Times New Roman" w:cs="Times New Roman"/>
          <w:sz w:val="24"/>
          <w:szCs w:val="24"/>
          <w:lang w:eastAsia="tr-TR"/>
        </w:rPr>
        <w:t xml:space="preserve"> içinde eşyanın gümrüğe sunulmaması durumunda gümrük</w:t>
      </w:r>
      <w:r>
        <w:rPr>
          <w:rFonts w:ascii="Times New Roman" w:eastAsia="Times New Roman" w:hAnsi="Times New Roman" w:cs="Times New Roman"/>
          <w:sz w:val="24"/>
          <w:szCs w:val="24"/>
          <w:lang w:eastAsia="tr-TR"/>
        </w:rPr>
        <w:t xml:space="preserve"> beyannamesi verilmemiş sayılacaktır.</w:t>
      </w:r>
    </w:p>
    <w:p w:rsidR="001D735B" w:rsidRPr="004F0D82" w:rsidRDefault="001D735B" w:rsidP="004F0D82">
      <w:r w:rsidRPr="004F0D82">
        <w:t xml:space="preserve">-----Kanun taslağında, </w:t>
      </w:r>
      <w:r w:rsidRPr="00BB1C5A">
        <w:rPr>
          <w:b/>
        </w:rPr>
        <w:t>diğ</w:t>
      </w:r>
      <w:bookmarkStart w:id="1" w:name="_Toc402448536"/>
      <w:bookmarkStart w:id="2" w:name="_Toc402450538"/>
      <w:bookmarkStart w:id="3" w:name="_Toc411611975"/>
      <w:r w:rsidRPr="00BB1C5A">
        <w:rPr>
          <w:b/>
        </w:rPr>
        <w:t>er basitleştirmeler</w:t>
      </w:r>
      <w:r w:rsidRPr="004F0D82">
        <w:t xml:space="preserve"> adı altında aşağıdaki düzenlemeler yer almaktadır.</w:t>
      </w:r>
    </w:p>
    <w:p w:rsidR="001D735B" w:rsidRPr="004F0D82" w:rsidRDefault="00BB1C5A" w:rsidP="004F0D82">
      <w:pPr>
        <w:rPr>
          <w:b/>
        </w:rPr>
      </w:pPr>
      <w:r>
        <w:rPr>
          <w:b/>
        </w:rPr>
        <w:t>1---</w:t>
      </w:r>
      <w:r w:rsidR="001D735B" w:rsidRPr="004F0D82">
        <w:rPr>
          <w:b/>
        </w:rPr>
        <w:t>Farklı Tarife Alt Pozisyonlarındaki Eşyanın Gümrük Beyanının Basitleştirilmesi</w:t>
      </w:r>
      <w:bookmarkEnd w:id="1"/>
      <w:bookmarkEnd w:id="2"/>
      <w:bookmarkEnd w:id="3"/>
    </w:p>
    <w:p w:rsidR="001D735B" w:rsidRPr="001D735B" w:rsidRDefault="001D735B" w:rsidP="004F0D82">
      <w:bookmarkStart w:id="4" w:name="_Toc402448537"/>
      <w:bookmarkStart w:id="5" w:name="_Toc402450539"/>
      <w:r w:rsidRPr="001D735B">
        <w:t xml:space="preserve">Bir taşıma belgesi veya taşıma belgesi </w:t>
      </w:r>
      <w:r w:rsidRPr="001D735B">
        <w:rPr>
          <w:b/>
        </w:rPr>
        <w:t>yoksa fatura kapsamı</w:t>
      </w:r>
      <w:r w:rsidRPr="001D735B">
        <w:t xml:space="preserve"> eşyanın farklı tarife alt pozisyonlarında sınıflandırıldığı ve her bir eşya için tarife alt pozisyonuna göre ayrı gümrük beyanı verilmesinin ilave iş yüküne ve ödenecek gümrük vergisine oranla aşırı bir masrafa neden olacağı hallerde, gümrük idaresi beyan sahibinin başvurusu üzerine, bu belge kapsamı eşyanın tamamına, tarife alt pozisyonuna göre en yüksek gümrük vergisi oranına tabi eşyaya uygulanacak vergi oranını uygulayabilir</w:t>
      </w:r>
      <w:bookmarkEnd w:id="4"/>
      <w:bookmarkEnd w:id="5"/>
      <w:r w:rsidR="005A2FB2">
        <w:t>.</w:t>
      </w:r>
    </w:p>
    <w:p w:rsidR="001D735B" w:rsidRPr="001D735B" w:rsidRDefault="001D735B" w:rsidP="004F0D82">
      <w:r w:rsidRPr="001D735B">
        <w:t xml:space="preserve"> Ticaret politikası önlemlerinin uygulanmasında eşyanın tabi olduğu tarife alt pozisyonuna göre sınıflandırmasının gerekli olduğu hallerde </w:t>
      </w:r>
      <w:r w:rsidR="00BB1C5A">
        <w:t>bu hüküm uygulanmayacaktır.</w:t>
      </w:r>
    </w:p>
    <w:p w:rsidR="001D735B" w:rsidRPr="001D735B" w:rsidRDefault="00BB1C5A" w:rsidP="004F0D82">
      <w:bookmarkStart w:id="6" w:name="_Toc402448538"/>
      <w:bookmarkStart w:id="7" w:name="_Toc402450540"/>
      <w:bookmarkStart w:id="8" w:name="_Toc411611976"/>
      <w:r>
        <w:rPr>
          <w:b/>
        </w:rPr>
        <w:t>2---</w:t>
      </w:r>
      <w:r w:rsidR="001D735B" w:rsidRPr="004F0D82">
        <w:rPr>
          <w:b/>
        </w:rPr>
        <w:t>Merkezi G</w:t>
      </w:r>
      <w:r w:rsidR="001D735B" w:rsidRPr="001D735B">
        <w:rPr>
          <w:b/>
        </w:rPr>
        <w:t>ümrükleme</w:t>
      </w:r>
      <w:bookmarkStart w:id="9" w:name="_Toc402448539"/>
      <w:bookmarkStart w:id="10" w:name="_Toc402450541"/>
      <w:bookmarkEnd w:id="6"/>
      <w:bookmarkEnd w:id="7"/>
      <w:bookmarkEnd w:id="8"/>
      <w:r w:rsidR="001D735B" w:rsidRPr="004F0D82">
        <w:rPr>
          <w:b/>
        </w:rPr>
        <w:t>;</w:t>
      </w:r>
      <w:r w:rsidR="001D735B" w:rsidRPr="001D735B">
        <w:t xml:space="preserve"> Gümrük idareleri</w:t>
      </w:r>
      <w:r w:rsidR="001D735B" w:rsidRPr="004F0D82">
        <w:t>,</w:t>
      </w:r>
      <w:r w:rsidR="005A2FB2">
        <w:t xml:space="preserve"> Yetkilendirilmiş Ekonomik O</w:t>
      </w:r>
      <w:r w:rsidR="001D735B" w:rsidRPr="001D735B">
        <w:t xml:space="preserve">peratör statüsü tanınan kişilerin başvurusu üzerine gümrük beyannamesinin, </w:t>
      </w:r>
      <w:r w:rsidR="001D735B" w:rsidRPr="001D735B">
        <w:rPr>
          <w:b/>
        </w:rPr>
        <w:t>eşyanın sunulduğu gümrük idaresi yerine bu kişinin yerleşik olduğu yerdeki gümrük idaresine</w:t>
      </w:r>
      <w:r w:rsidR="001D735B" w:rsidRPr="001D735B">
        <w:t xml:space="preserve"> verilmesine izin verebil</w:t>
      </w:r>
      <w:bookmarkEnd w:id="9"/>
      <w:bookmarkEnd w:id="10"/>
      <w:r w:rsidR="005A2FB2">
        <w:t>ir.</w:t>
      </w:r>
    </w:p>
    <w:p w:rsidR="001D735B" w:rsidRPr="001D735B" w:rsidRDefault="00BB1C5A" w:rsidP="004F0D82">
      <w:bookmarkStart w:id="11" w:name="_Toc402448552"/>
      <w:bookmarkStart w:id="12" w:name="_Toc402450554"/>
      <w:bookmarkStart w:id="13" w:name="_Toc411611977"/>
      <w:r>
        <w:rPr>
          <w:b/>
        </w:rPr>
        <w:t>3---</w:t>
      </w:r>
      <w:r w:rsidR="001D735B" w:rsidRPr="004F0D82">
        <w:rPr>
          <w:b/>
        </w:rPr>
        <w:t>Kayıt Yoluyla B</w:t>
      </w:r>
      <w:r w:rsidR="001D735B" w:rsidRPr="001D735B">
        <w:rPr>
          <w:b/>
        </w:rPr>
        <w:t>eyan</w:t>
      </w:r>
      <w:bookmarkEnd w:id="11"/>
      <w:bookmarkEnd w:id="12"/>
      <w:bookmarkEnd w:id="13"/>
      <w:r w:rsidR="001D735B" w:rsidRPr="004F0D82">
        <w:rPr>
          <w:b/>
        </w:rPr>
        <w:t>;</w:t>
      </w:r>
      <w:r w:rsidR="001D735B" w:rsidRPr="004F0D82">
        <w:t xml:space="preserve"> </w:t>
      </w:r>
      <w:r w:rsidR="001D735B" w:rsidRPr="001D735B">
        <w:t>Gümrük idareleri başvuru üzerine, beyanın yapıldığı anda beyan sahibinin elektronik sistemindeki beyanname bilgilerine erişilebilmesi koşuluyla, basitleştirilmiş beyan da dahil, kayıt yoluyla beyan yapılmasına izin verebilir</w:t>
      </w:r>
      <w:r w:rsidR="001D735B" w:rsidRPr="004F0D82">
        <w:t>.</w:t>
      </w:r>
    </w:p>
    <w:p w:rsidR="001D735B" w:rsidRPr="001D735B" w:rsidRDefault="00BB1C5A" w:rsidP="004F0D82">
      <w:bookmarkStart w:id="14" w:name="_Toc402448553"/>
      <w:bookmarkStart w:id="15" w:name="_Toc402450555"/>
      <w:bookmarkStart w:id="16" w:name="_Toc411611978"/>
      <w:r>
        <w:rPr>
          <w:b/>
        </w:rPr>
        <w:t>4---</w:t>
      </w:r>
      <w:r w:rsidR="001D735B" w:rsidRPr="004F0D82">
        <w:rPr>
          <w:b/>
        </w:rPr>
        <w:t>Öz D</w:t>
      </w:r>
      <w:r w:rsidR="001D735B" w:rsidRPr="001D735B">
        <w:rPr>
          <w:b/>
        </w:rPr>
        <w:t>eğerlendirme</w:t>
      </w:r>
      <w:bookmarkEnd w:id="14"/>
      <w:bookmarkEnd w:id="15"/>
      <w:bookmarkEnd w:id="16"/>
      <w:r w:rsidR="001D735B" w:rsidRPr="004F0D82">
        <w:rPr>
          <w:b/>
        </w:rPr>
        <w:t>;</w:t>
      </w:r>
      <w:r w:rsidR="001D735B" w:rsidRPr="004F0D82">
        <w:t xml:space="preserve"> </w:t>
      </w:r>
      <w:r w:rsidR="001D735B" w:rsidRPr="001D735B">
        <w:t>Gümrük idareleri başvuru üzerine, gümrük idaresince yapılması gereken belirli gümrük işlemlerini yerine getirmek, ödenecek gümrük vergilerini belirlemek ve gümrük gözetiminde belirli kontrolleri gerçekleştirmek üzere</w:t>
      </w:r>
      <w:r w:rsidR="004F0D82" w:rsidRPr="004F0D82">
        <w:t xml:space="preserve"> </w:t>
      </w:r>
      <w:r w:rsidR="005A2FB2">
        <w:t>Yetkilendirilmiş Ekonomik O</w:t>
      </w:r>
      <w:r w:rsidR="001D735B" w:rsidRPr="001D735B">
        <w:t>peratör statüsü tanınan kişilere izin verebilir.</w:t>
      </w:r>
      <w:r w:rsidR="00492843" w:rsidRPr="003D4E81">
        <w:rPr>
          <w:color w:val="000000" w:themeColor="text1"/>
          <w:szCs w:val="24"/>
          <w:highlight w:val="yellow"/>
        </w:rPr>
        <w:t xml:space="preserve"> </w:t>
      </w:r>
    </w:p>
    <w:p w:rsidR="006958A3" w:rsidRDefault="004F0D82" w:rsidP="006958A3">
      <w:r>
        <w:t xml:space="preserve">-----4458 sayılı gümrük kanununda </w:t>
      </w:r>
      <w:r w:rsidRPr="00BB1C5A">
        <w:rPr>
          <w:b/>
        </w:rPr>
        <w:t>eşyanın teslimi</w:t>
      </w:r>
      <w:r>
        <w:t xml:space="preserve"> olarak yapılan düzenlemeler, taslakta </w:t>
      </w:r>
      <w:r w:rsidRPr="00BB1C5A">
        <w:rPr>
          <w:b/>
        </w:rPr>
        <w:t>eşyanın serbest bırakılması</w:t>
      </w:r>
      <w:r>
        <w:t xml:space="preserve"> şeklinde düzenlenmiştir.</w:t>
      </w:r>
    </w:p>
    <w:p w:rsidR="006958A3" w:rsidRPr="006958A3" w:rsidRDefault="006958A3" w:rsidP="006958A3">
      <w:r>
        <w:t>------Taslakta</w:t>
      </w:r>
      <w:r w:rsidR="00391BC0">
        <w:t>,</w:t>
      </w:r>
      <w:r>
        <w:t xml:space="preserve"> </w:t>
      </w:r>
      <w:r w:rsidRPr="00391BC0">
        <w:t>e</w:t>
      </w:r>
      <w:r w:rsidRPr="006958A3">
        <w:t>ş</w:t>
      </w:r>
      <w:r w:rsidR="00391BC0" w:rsidRPr="00391BC0">
        <w:t>yanın</w:t>
      </w:r>
      <w:r w:rsidRPr="006958A3">
        <w:t xml:space="preserve"> bir depolama rejimi </w:t>
      </w:r>
      <w:r w:rsidRPr="00391BC0">
        <w:t>(antrepo-serbest bölge rejimleri)</w:t>
      </w:r>
      <w:r w:rsidRPr="006958A3">
        <w:t>a</w:t>
      </w:r>
      <w:r w:rsidRPr="00391BC0">
        <w:t xml:space="preserve">ltında </w:t>
      </w:r>
      <w:r w:rsidRPr="00BB1C5A">
        <w:rPr>
          <w:b/>
        </w:rPr>
        <w:t>kalış süresi sınırsızdır</w:t>
      </w:r>
      <w:r w:rsidRPr="00391BC0">
        <w:t xml:space="preserve"> hükmü yer almakta</w:t>
      </w:r>
      <w:r w:rsidR="00BB1C5A">
        <w:t>, ancak bir beyanname verilmesi durumunda</w:t>
      </w:r>
      <w:r w:rsidRPr="006958A3">
        <w:t>, gümrük işlemlerinin beyannamenin tescil edi</w:t>
      </w:r>
      <w:r w:rsidR="005A2FB2">
        <w:t xml:space="preserve">ldiği </w:t>
      </w:r>
      <w:r w:rsidRPr="006958A3">
        <w:t xml:space="preserve">tarihten itibaren </w:t>
      </w:r>
      <w:r w:rsidRPr="006958A3">
        <w:rPr>
          <w:b/>
        </w:rPr>
        <w:t>otuz</w:t>
      </w:r>
      <w:r w:rsidR="00391BC0" w:rsidRPr="00391BC0">
        <w:rPr>
          <w:b/>
        </w:rPr>
        <w:t xml:space="preserve"> gün içinde</w:t>
      </w:r>
      <w:r w:rsidR="00391BC0" w:rsidRPr="00391BC0">
        <w:t xml:space="preserve"> bitirilmesi gerektiği, b</w:t>
      </w:r>
      <w:r w:rsidRPr="006958A3">
        <w:t xml:space="preserve">u süre içinde </w:t>
      </w:r>
      <w:r w:rsidR="00BB1C5A">
        <w:t xml:space="preserve">işlemi bitirilmeyen </w:t>
      </w:r>
      <w:r w:rsidR="00391BC0" w:rsidRPr="00391BC0">
        <w:t>eşyanın tasfiye edileceği hükmü yer almaktadır.</w:t>
      </w:r>
    </w:p>
    <w:p w:rsidR="00340D8D" w:rsidRDefault="00391BC0" w:rsidP="00340D8D">
      <w:r>
        <w:t>-----Taslakta gümrük antrepolarına konulacak eşyalar arasında 4458 sayılı kanunda yer alan ‘</w:t>
      </w:r>
      <w:r w:rsidRPr="00BB1C5A">
        <w:rPr>
          <w:b/>
        </w:rPr>
        <w:t>’</w:t>
      </w:r>
      <w:r w:rsidRPr="00BB1C5A">
        <w:rPr>
          <w:b/>
          <w:noProof/>
        </w:rPr>
        <w:t xml:space="preserve">Gümrük antreposuna alınması halinde ihracata ilişkin önlemlerden yararlanabilecek </w:t>
      </w:r>
      <w:r w:rsidRPr="00BB1C5A">
        <w:rPr>
          <w:rFonts w:cs="AngsanaUPC"/>
          <w:b/>
        </w:rPr>
        <w:t>serbest dolaşımda bulunan eşya</w:t>
      </w:r>
      <w:r w:rsidR="00340D8D" w:rsidRPr="00BB1C5A">
        <w:rPr>
          <w:rFonts w:cs="AngsanaUPC"/>
          <w:b/>
        </w:rPr>
        <w:t>’</w:t>
      </w:r>
      <w:r w:rsidR="00340D8D">
        <w:rPr>
          <w:rFonts w:cs="AngsanaUPC"/>
        </w:rPr>
        <w:t>’ ibaresi yer almamaktadır.</w:t>
      </w:r>
      <w:r w:rsidR="004909F7">
        <w:rPr>
          <w:rFonts w:cs="AngsanaUPC"/>
        </w:rPr>
        <w:t xml:space="preserve"> </w:t>
      </w:r>
    </w:p>
    <w:p w:rsidR="00391BC0" w:rsidRDefault="00340D8D" w:rsidP="00391BC0">
      <w:r>
        <w:t>------</w:t>
      </w:r>
      <w:r w:rsidRPr="00BB1C5A">
        <w:rPr>
          <w:b/>
        </w:rPr>
        <w:t>Çıkış özet beyanı</w:t>
      </w:r>
      <w:r w:rsidRPr="00340D8D">
        <w:t>, taşıyıcı yerine, i</w:t>
      </w:r>
      <w:r w:rsidRPr="00340D8D">
        <w:rPr>
          <w:b/>
        </w:rPr>
        <w:t>hracatçı</w:t>
      </w:r>
      <w:r w:rsidRPr="00340D8D">
        <w:t xml:space="preserve"> veya gönderici ya da taşıyıcı tarafından adına veya hesabına hareket edilen diğer bir kişi tarafından verilebilecektir</w:t>
      </w:r>
      <w:r>
        <w:t>.</w:t>
      </w:r>
    </w:p>
    <w:p w:rsidR="00642D0A" w:rsidRDefault="00642D0A" w:rsidP="00391BC0">
      <w:pPr>
        <w:rPr>
          <w:szCs w:val="24"/>
        </w:rPr>
      </w:pPr>
      <w:r>
        <w:t>------</w:t>
      </w:r>
      <w:r w:rsidRPr="00530EB4">
        <w:rPr>
          <w:szCs w:val="24"/>
        </w:rPr>
        <w:t xml:space="preserve"> </w:t>
      </w:r>
      <w:r>
        <w:rPr>
          <w:szCs w:val="24"/>
        </w:rPr>
        <w:t xml:space="preserve">Taslakta, </w:t>
      </w:r>
      <w:r w:rsidRPr="00530EB4">
        <w:rPr>
          <w:szCs w:val="24"/>
        </w:rPr>
        <w:t xml:space="preserve">Gümrük müşavirliği ve gümrük müşavir yardımcılığı sınavlarına </w:t>
      </w:r>
      <w:r w:rsidRPr="00BB1C5A">
        <w:rPr>
          <w:b/>
          <w:szCs w:val="24"/>
        </w:rPr>
        <w:t>en fazla beşer</w:t>
      </w:r>
      <w:r>
        <w:rPr>
          <w:szCs w:val="24"/>
        </w:rPr>
        <w:t xml:space="preserve"> defa girilebilir hükmü yer almaktadır.</w:t>
      </w:r>
      <w:r w:rsidR="00703FAF">
        <w:rPr>
          <w:szCs w:val="24"/>
        </w:rPr>
        <w:t xml:space="preserve"> </w:t>
      </w:r>
      <w:r w:rsidR="00BB1C5A">
        <w:rPr>
          <w:szCs w:val="24"/>
        </w:rPr>
        <w:t xml:space="preserve">(4458 Sayılı </w:t>
      </w:r>
      <w:r w:rsidR="005A2FB2">
        <w:rPr>
          <w:szCs w:val="24"/>
        </w:rPr>
        <w:t>Gümrük K</w:t>
      </w:r>
      <w:r w:rsidR="00BB1C5A">
        <w:rPr>
          <w:szCs w:val="24"/>
        </w:rPr>
        <w:t>anuna göre üçer defa girilebilmektedir.)</w:t>
      </w:r>
    </w:p>
    <w:p w:rsidR="0029693B" w:rsidRDefault="0029693B" w:rsidP="0029693B">
      <w:pPr>
        <w:rPr>
          <w:noProof/>
        </w:rPr>
      </w:pPr>
      <w:r>
        <w:rPr>
          <w:szCs w:val="24"/>
        </w:rPr>
        <w:t>-----</w:t>
      </w:r>
      <w:r w:rsidR="00352E1D">
        <w:rPr>
          <w:szCs w:val="24"/>
        </w:rPr>
        <w:t>-</w:t>
      </w:r>
      <w:r>
        <w:rPr>
          <w:szCs w:val="24"/>
        </w:rPr>
        <w:t xml:space="preserve">Taslakta, cezalar ile ilgili genel açıklamalar </w:t>
      </w:r>
      <w:r w:rsidRPr="0029693B">
        <w:rPr>
          <w:noProof/>
        </w:rPr>
        <w:t xml:space="preserve">bölümünde ‘’ Yargı mercileri tarafından iptal edilen genel tebliğ ve genelgeler hariç olmak üzere, </w:t>
      </w:r>
      <w:r w:rsidRPr="0029693B">
        <w:rPr>
          <w:b/>
          <w:noProof/>
        </w:rPr>
        <w:t xml:space="preserve">bir hükmün uygulanması hususunda gümrük idaresinin </w:t>
      </w:r>
      <w:r w:rsidRPr="0029693B">
        <w:rPr>
          <w:b/>
          <w:noProof/>
        </w:rPr>
        <w:lastRenderedPageBreak/>
        <w:t>genel tebliğ veya genelgede değişiklik yapmak suretiyle görüş değiştirmesi veya gümrük idaresi tarafından yükümlüye yazılı olarak hatalı izahat verilmiş olması halinde bu Kısım hükümlerine göre para cezası ve faiz uygulanmaz</w:t>
      </w:r>
      <w:r>
        <w:rPr>
          <w:b/>
          <w:noProof/>
        </w:rPr>
        <w:t>’’</w:t>
      </w:r>
      <w:r w:rsidRPr="0029693B">
        <w:rPr>
          <w:noProof/>
        </w:rPr>
        <w:t xml:space="preserve"> hükmüne yer verilmiştir</w:t>
      </w:r>
      <w:r>
        <w:rPr>
          <w:noProof/>
        </w:rPr>
        <w:t>.</w:t>
      </w:r>
      <w:r w:rsidR="00492843" w:rsidRPr="003D4E81">
        <w:rPr>
          <w:color w:val="000000" w:themeColor="text1"/>
          <w:szCs w:val="24"/>
          <w:highlight w:val="yellow"/>
        </w:rPr>
        <w:t xml:space="preserve"> </w:t>
      </w:r>
    </w:p>
    <w:p w:rsidR="00423BBB" w:rsidRPr="00227881" w:rsidRDefault="00423BBB" w:rsidP="00866993">
      <w:pPr>
        <w:jc w:val="both"/>
        <w:rPr>
          <w:rFonts w:cs="AngsanaUPC"/>
          <w:b/>
        </w:rPr>
      </w:pPr>
      <w:r>
        <w:rPr>
          <w:noProof/>
        </w:rPr>
        <w:t>-----4458 sayılı kanunun 234. Maddesinde yer alan, tarife, kıymet, miktar farkları kaynaklı cezalar ayrı ayrı düzenlenmemiş,</w:t>
      </w:r>
      <w:r w:rsidRPr="00423BBB">
        <w:rPr>
          <w:rFonts w:cs="AngsanaUPC"/>
        </w:rPr>
        <w:t xml:space="preserve"> </w:t>
      </w:r>
      <w:r>
        <w:rPr>
          <w:rFonts w:cs="AngsanaUPC"/>
        </w:rPr>
        <w:t>ithalat vergileri arasındaki fark % 5’i aştığı takdirde ve  satış birimine göre miktar itibarıyla % 5’i geçmeyen b</w:t>
      </w:r>
      <w:r>
        <w:t>ir fark ibareleri kaldırılmış, uygulanacak ceza ‘</w:t>
      </w:r>
      <w:r w:rsidRPr="00423BBB">
        <w:rPr>
          <w:b/>
          <w:color w:val="000000" w:themeColor="text1"/>
        </w:rPr>
        <w:t>’</w:t>
      </w:r>
      <w:r w:rsidRPr="00423BBB">
        <w:rPr>
          <w:rFonts w:eastAsia="Calibri"/>
          <w:b/>
          <w:bCs/>
          <w:color w:val="000000" w:themeColor="text1"/>
        </w:rPr>
        <w:t>yapılan muayene, denetleme veya teslimden sonra kontrol sonucunda, alınması gereken ithalat vergilerinin beyana göre hesaplanan gümrük vergilerinden fazla olması halinde fark ithalat vergilerinin yanı sıra vergi farkının üç katı para cezası alınır</w:t>
      </w:r>
      <w:r>
        <w:rPr>
          <w:rFonts w:eastAsia="Calibri"/>
          <w:b/>
          <w:bCs/>
          <w:color w:val="000000" w:themeColor="text1"/>
        </w:rPr>
        <w:t xml:space="preserve">’’ </w:t>
      </w:r>
      <w:r w:rsidRPr="00423BBB">
        <w:rPr>
          <w:szCs w:val="24"/>
        </w:rPr>
        <w:t>şeklinde düzenlenmiştir</w:t>
      </w:r>
      <w:r w:rsidRPr="00227881">
        <w:rPr>
          <w:rFonts w:cs="AngsanaUPC"/>
        </w:rPr>
        <w:t>.</w:t>
      </w:r>
      <w:r w:rsidR="00492843" w:rsidRPr="00227881">
        <w:rPr>
          <w:rFonts w:cs="AngsanaUPC"/>
        </w:rPr>
        <w:t xml:space="preserve"> </w:t>
      </w:r>
      <w:r w:rsidR="00492843" w:rsidRPr="00227881">
        <w:rPr>
          <w:rFonts w:cs="AngsanaUPC"/>
          <w:b/>
        </w:rPr>
        <w:t>Madde daha açık ve anlaşılır hale getirilmekle b</w:t>
      </w:r>
      <w:r w:rsidR="00227881" w:rsidRPr="00227881">
        <w:rPr>
          <w:rFonts w:cs="AngsanaUPC"/>
          <w:b/>
        </w:rPr>
        <w:t>irlikte, öngörülen cezalar aynı kalmaktadır.</w:t>
      </w:r>
    </w:p>
    <w:p w:rsidR="00CC032D" w:rsidRPr="00CC032D" w:rsidRDefault="00423BBB" w:rsidP="00CC032D">
      <w:pPr>
        <w:jc w:val="both"/>
        <w:rPr>
          <w:rFonts w:cs="AngsanaUPC"/>
        </w:rPr>
      </w:pPr>
      <w:r w:rsidRPr="00423BBB">
        <w:rPr>
          <w:noProof/>
        </w:rPr>
        <w:t>-----</w:t>
      </w:r>
      <w:r w:rsidR="00CC032D">
        <w:rPr>
          <w:rFonts w:cs="AngsanaUPC"/>
        </w:rPr>
        <w:t>--4458 sayılı kanunun 235. Maddesinde yer alan</w:t>
      </w:r>
      <w:r w:rsidR="00CC032D" w:rsidRPr="00CC032D">
        <w:rPr>
          <w:rFonts w:ascii="Times New Roman" w:hAnsi="Times New Roman" w:cs="Times New Roman"/>
          <w:sz w:val="24"/>
          <w:szCs w:val="24"/>
        </w:rPr>
        <w:t xml:space="preserve"> </w:t>
      </w:r>
      <w:r w:rsidR="00CC032D" w:rsidRPr="00CC032D">
        <w:rPr>
          <w:rFonts w:cs="AngsanaUPC"/>
        </w:rPr>
        <w:t>‘</w:t>
      </w:r>
      <w:r w:rsidR="00CC032D" w:rsidRPr="00CC032D">
        <w:rPr>
          <w:rFonts w:cs="AngsanaUPC"/>
          <w:b/>
        </w:rPr>
        <w:t xml:space="preserve">’Eşyanın ithali, lisansa, şarta, izne, kısıntıya veya belli kuruluşların vereceği uygunluk veya yeterlilik belgesine tabi olduğu halde uygunluk ve yeterlilik belgesine tabi değilmiş veya belge alınmış gibi beyan edildiğinin tespit edilmesi halinde, eşyanın gümrük vergilerinin yanı sıra, eşyanın gümrüklenmiş değerinin iki katı idari para cezası verilir.’’ </w:t>
      </w:r>
      <w:r w:rsidR="00CC032D" w:rsidRPr="00CC032D">
        <w:rPr>
          <w:rFonts w:cs="AngsanaUPC"/>
        </w:rPr>
        <w:t>şeklindeki Kanun</w:t>
      </w:r>
      <w:r w:rsidR="00CC032D" w:rsidRPr="00CC032D">
        <w:rPr>
          <w:rFonts w:cs="AngsanaUPC"/>
          <w:b/>
        </w:rPr>
        <w:t xml:space="preserve"> </w:t>
      </w:r>
      <w:r w:rsidR="00CC032D" w:rsidRPr="00CC032D">
        <w:rPr>
          <w:rFonts w:cs="AngsanaUPC"/>
        </w:rPr>
        <w:t xml:space="preserve">hükmüne, </w:t>
      </w:r>
      <w:r w:rsidR="00CC032D" w:rsidRPr="00CC032D">
        <w:rPr>
          <w:rFonts w:cs="AngsanaUPC"/>
          <w:b/>
        </w:rPr>
        <w:t>‘’eşyanın, Bakanlıkça belirlenecek süre içerisinde, ithalinin uygun bulunduğuna ilişkin belge veya bilginin düzenlenmesi veya ilgili kurum veya kuruluş tarafından gerçekleştirilen denetimin olumlu sonuçlandığının bildirilmesi halinde, 241 inci maddenin birinci fıkrası uyarınca para cezası verilir.’’</w:t>
      </w:r>
      <w:r w:rsidR="00CC032D" w:rsidRPr="00CC032D">
        <w:rPr>
          <w:rFonts w:cs="AngsanaUPC"/>
        </w:rPr>
        <w:t xml:space="preserve"> hükmü ilave edilerek gerekli kurum izni alınması şartıyla ceza hafifletilmiştir. Aynı düzenleme ihracat eşyası için de yapılmıştır.</w:t>
      </w:r>
    </w:p>
    <w:p w:rsidR="00CC032D" w:rsidRPr="00CC032D" w:rsidRDefault="00CC032D" w:rsidP="00CC032D">
      <w:pPr>
        <w:jc w:val="both"/>
        <w:rPr>
          <w:rFonts w:cs="AngsanaUPC"/>
        </w:rPr>
      </w:pPr>
      <w:r w:rsidRPr="00CC032D">
        <w:rPr>
          <w:rFonts w:cs="AngsanaUPC"/>
        </w:rPr>
        <w:t xml:space="preserve">Transit rejimine konu edilen serbest dolaşımda olmayan eşyanın yapılan kontrolü veya muayenesi sonucunda, beyan edilenden belirgin bir şekilde farklı cinste olduğunun tahlil, teknik inceleme ve araştırmaya gerek olmaksızın tespiti halinde uygulanacak ceza oranları düşürülmüştür. </w:t>
      </w:r>
    </w:p>
    <w:p w:rsidR="00CC032D" w:rsidRDefault="00CC032D" w:rsidP="00CC032D">
      <w:pPr>
        <w:jc w:val="both"/>
        <w:rPr>
          <w:rFonts w:cs="AngsanaUPC"/>
        </w:rPr>
      </w:pPr>
      <w:r w:rsidRPr="00CC032D">
        <w:rPr>
          <w:noProof/>
        </w:rPr>
        <w:t xml:space="preserve">Ayrıca, </w:t>
      </w:r>
      <w:r w:rsidRPr="00CC032D">
        <w:rPr>
          <w:rFonts w:eastAsia="Calibri"/>
          <w:color w:val="000000" w:themeColor="text1"/>
          <w:szCs w:val="24"/>
        </w:rPr>
        <w:t>Transit rejimine konu edilen serbest dolaşımda olmayan eşyanın, hareket gümrük idaresinden sevk edilmesinden sonra varış gümrük idaresine varışından önce ya da varış gümrük idaresinde yapılan kontrolü veya muayenesi sonucunda eşyada tespit edilecek miktar farkları durumunda uygulanacak cezalarda bu madde içerine alınmıştır. (Şu anda gümrük yönetmeliğinin 249. Maddesinde yer almaktadır.)</w:t>
      </w:r>
    </w:p>
    <w:p w:rsidR="00CC032D" w:rsidRPr="00CC032D" w:rsidRDefault="00CC032D" w:rsidP="00CC032D">
      <w:pPr>
        <w:jc w:val="both"/>
        <w:rPr>
          <w:rFonts w:cs="AngsanaUPC"/>
        </w:rPr>
      </w:pPr>
      <w:r>
        <w:rPr>
          <w:rFonts w:cs="AngsanaUPC"/>
        </w:rPr>
        <w:t>B</w:t>
      </w:r>
      <w:r w:rsidRPr="00CC032D">
        <w:rPr>
          <w:rFonts w:cs="AngsanaUPC"/>
        </w:rPr>
        <w:t>elirtilen aykırılıkların (ithalat ve ihracat hükümleri) gümrük idaresince tespit edilmesinden önce beyan sahibince bildirilmesi durumunda bu fıkralara göre hesaplanan cezalar yüzde on beş oranında uygulanacaktır.</w:t>
      </w:r>
    </w:p>
    <w:p w:rsidR="0094376D" w:rsidRPr="00492843" w:rsidRDefault="00CC032D" w:rsidP="00492843">
      <w:pPr>
        <w:rPr>
          <w:noProof/>
        </w:rPr>
      </w:pPr>
      <w:r>
        <w:rPr>
          <w:rFonts w:cs="AngsanaUPC"/>
        </w:rPr>
        <w:t>D</w:t>
      </w:r>
      <w:r w:rsidRPr="00CC032D">
        <w:rPr>
          <w:rFonts w:cs="AngsanaUPC"/>
        </w:rPr>
        <w:t>eniz ve hava nakil vasıtaları kaptanları, pilotları, hizmetlileri veya mürettebatının beyanına aykırı olarak üzerlerinde, eşyası arasında veya taşıma araçlarında ticari miktar ve mahiyet arz etmeyen eşya bulunduğu takdirde beyan sahibine 241.maddenin altıncı fıkrası hükmüne göre idari para cezası verilerek eşyaya el konulacak ve mülkiyetinin kamuya</w:t>
      </w:r>
      <w:r>
        <w:rPr>
          <w:rFonts w:cs="AngsanaUPC"/>
        </w:rPr>
        <w:t xml:space="preserve"> geçirilmesine karar verilerek </w:t>
      </w:r>
      <w:r w:rsidRPr="00CC032D">
        <w:rPr>
          <w:rFonts w:cs="AngsanaUPC"/>
        </w:rPr>
        <w:t>tasfiyeye tabi tutulacaktır.</w:t>
      </w:r>
      <w:r w:rsidR="00492843" w:rsidRPr="00492843">
        <w:rPr>
          <w:noProof/>
        </w:rPr>
        <w:t xml:space="preserve"> </w:t>
      </w:r>
      <w:r w:rsidR="00492843" w:rsidRPr="003D4E81">
        <w:rPr>
          <w:color w:val="000000" w:themeColor="text1"/>
          <w:szCs w:val="24"/>
          <w:highlight w:val="yellow"/>
        </w:rPr>
        <w:t xml:space="preserve"> </w:t>
      </w:r>
    </w:p>
    <w:p w:rsidR="006C391F" w:rsidRPr="006C391F" w:rsidRDefault="0094376D" w:rsidP="006C391F">
      <w:pPr>
        <w:autoSpaceDE w:val="0"/>
        <w:autoSpaceDN w:val="0"/>
        <w:adjustRightInd w:val="0"/>
        <w:spacing w:after="0"/>
        <w:rPr>
          <w:rFonts w:eastAsia="Calibri"/>
          <w:color w:val="000000" w:themeColor="text1"/>
          <w:szCs w:val="24"/>
        </w:rPr>
      </w:pPr>
      <w:r>
        <w:rPr>
          <w:rFonts w:eastAsia="Calibri"/>
          <w:color w:val="000000" w:themeColor="text1"/>
          <w:szCs w:val="24"/>
        </w:rPr>
        <w:t xml:space="preserve"> </w:t>
      </w:r>
      <w:r w:rsidR="006C391F">
        <w:rPr>
          <w:rFonts w:eastAsia="Calibri"/>
          <w:color w:val="000000" w:themeColor="text1"/>
          <w:szCs w:val="24"/>
        </w:rPr>
        <w:t>------</w:t>
      </w:r>
      <w:r w:rsidR="006C391F" w:rsidRPr="00D26E10">
        <w:rPr>
          <w:rFonts w:eastAsia="Calibri"/>
          <w:color w:val="000000" w:themeColor="text1"/>
          <w:szCs w:val="24"/>
        </w:rPr>
        <w:t xml:space="preserve">Eşyanın </w:t>
      </w:r>
      <w:r w:rsidR="006C391F" w:rsidRPr="006C391F">
        <w:rPr>
          <w:rFonts w:eastAsia="Calibri"/>
          <w:color w:val="000000" w:themeColor="text1"/>
          <w:szCs w:val="24"/>
        </w:rPr>
        <w:t xml:space="preserve">antrepo beyannamesinde beyan </w:t>
      </w:r>
      <w:r w:rsidR="006C391F" w:rsidRPr="006C391F">
        <w:rPr>
          <w:rFonts w:eastAsia="Calibri"/>
          <w:b/>
          <w:color w:val="000000" w:themeColor="text1"/>
          <w:szCs w:val="24"/>
        </w:rPr>
        <w:t>edilenden belirgin bir şekilde farklı cinste</w:t>
      </w:r>
      <w:r w:rsidR="006C391F" w:rsidRPr="006C391F">
        <w:rPr>
          <w:rFonts w:eastAsia="Calibri"/>
          <w:color w:val="000000" w:themeColor="text1"/>
          <w:szCs w:val="24"/>
        </w:rPr>
        <w:t xml:space="preserve"> eşya olduğunun tahlil, teknik inceleme ve araştırmaya g</w:t>
      </w:r>
      <w:r w:rsidR="006C391F" w:rsidRPr="00D26E10">
        <w:rPr>
          <w:rFonts w:eastAsia="Calibri"/>
          <w:color w:val="000000" w:themeColor="text1"/>
          <w:szCs w:val="24"/>
        </w:rPr>
        <w:t xml:space="preserve">erek olmaksızın tespiti halinde 4458 sayılı kanuna göre </w:t>
      </w:r>
      <w:r w:rsidR="006C391F" w:rsidRPr="00352E1D">
        <w:rPr>
          <w:rFonts w:eastAsia="Calibri"/>
          <w:b/>
          <w:color w:val="000000" w:themeColor="text1"/>
          <w:szCs w:val="24"/>
        </w:rPr>
        <w:t>gümrüklenmiş değerin iki katı</w:t>
      </w:r>
      <w:r w:rsidR="006C391F" w:rsidRPr="00D26E10">
        <w:rPr>
          <w:rFonts w:eastAsia="Calibri"/>
          <w:color w:val="000000" w:themeColor="text1"/>
          <w:szCs w:val="24"/>
        </w:rPr>
        <w:t xml:space="preserve"> idari para cezası verilmekteydi. Taslakta bu durum</w:t>
      </w:r>
      <w:r w:rsidR="00D26E10" w:rsidRPr="00D26E10">
        <w:rPr>
          <w:rFonts w:eastAsia="Calibri"/>
          <w:color w:val="000000" w:themeColor="text1"/>
          <w:szCs w:val="24"/>
        </w:rPr>
        <w:t xml:space="preserve">a </w:t>
      </w:r>
      <w:r w:rsidR="006C391F" w:rsidRPr="00D26E10">
        <w:rPr>
          <w:rFonts w:eastAsia="Calibri"/>
          <w:color w:val="000000" w:themeColor="text1"/>
          <w:szCs w:val="24"/>
        </w:rPr>
        <w:t>aşağıdaki belirtildi</w:t>
      </w:r>
      <w:r w:rsidR="00D26E10" w:rsidRPr="00D26E10">
        <w:rPr>
          <w:rFonts w:eastAsia="Calibri"/>
          <w:color w:val="000000" w:themeColor="text1"/>
          <w:szCs w:val="24"/>
        </w:rPr>
        <w:t>ği şekilde 2 farklı ceza öngörülmüştür.</w:t>
      </w:r>
    </w:p>
    <w:p w:rsidR="006C391F" w:rsidRPr="006C391F" w:rsidRDefault="006C391F" w:rsidP="006C391F">
      <w:pPr>
        <w:autoSpaceDE w:val="0"/>
        <w:autoSpaceDN w:val="0"/>
        <w:adjustRightInd w:val="0"/>
        <w:spacing w:after="0" w:line="276" w:lineRule="auto"/>
        <w:ind w:firstLine="708"/>
        <w:contextualSpacing/>
        <w:jc w:val="both"/>
        <w:rPr>
          <w:rFonts w:eastAsia="Calibri"/>
          <w:color w:val="000000" w:themeColor="text1"/>
          <w:szCs w:val="24"/>
        </w:rPr>
      </w:pPr>
      <w:r w:rsidRPr="006C391F">
        <w:rPr>
          <w:rFonts w:eastAsia="Calibri"/>
          <w:color w:val="000000" w:themeColor="text1"/>
          <w:szCs w:val="24"/>
        </w:rPr>
        <w:t xml:space="preserve">a) Farklı çıkan eşyanın gümrük vergileri toplamının beyan edilen eşyanın gümrük vergileri toplamından fazla olması durumunda farklı çıkan eşyaya ilişkin </w:t>
      </w:r>
      <w:r w:rsidRPr="006C391F">
        <w:rPr>
          <w:rFonts w:eastAsia="Calibri"/>
          <w:b/>
          <w:color w:val="000000" w:themeColor="text1"/>
          <w:szCs w:val="24"/>
        </w:rPr>
        <w:t>gümrük vergilerinin iki katı</w:t>
      </w:r>
      <w:r w:rsidRPr="006C391F">
        <w:rPr>
          <w:rFonts w:eastAsia="Calibri"/>
          <w:color w:val="000000" w:themeColor="text1"/>
          <w:szCs w:val="24"/>
        </w:rPr>
        <w:t xml:space="preserve"> idari para cezası verilir.</w:t>
      </w:r>
    </w:p>
    <w:p w:rsidR="006C391F" w:rsidRPr="00492843" w:rsidRDefault="006C391F" w:rsidP="00492843">
      <w:pPr>
        <w:rPr>
          <w:noProof/>
        </w:rPr>
      </w:pPr>
      <w:r w:rsidRPr="006C391F">
        <w:rPr>
          <w:rFonts w:eastAsia="Calibri"/>
          <w:color w:val="000000" w:themeColor="text1"/>
          <w:szCs w:val="24"/>
        </w:rPr>
        <w:lastRenderedPageBreak/>
        <w:t xml:space="preserve">b) Farklı çıkan eşyanın beyan edilen eşyadan farklı şekilde, ithalinin lisansa, şarta, izne, kısıntıya veya belli kuruluşların vereceği uygunluk veya yeterlilik belgesine tabi olması durumunda eşyanın </w:t>
      </w:r>
      <w:r w:rsidRPr="006C391F">
        <w:rPr>
          <w:rFonts w:eastAsia="Calibri"/>
          <w:b/>
          <w:color w:val="000000" w:themeColor="text1"/>
          <w:szCs w:val="24"/>
        </w:rPr>
        <w:t>gümrüklenmiş değeri kadar</w:t>
      </w:r>
      <w:r w:rsidRPr="006C391F">
        <w:rPr>
          <w:rFonts w:eastAsia="Calibri"/>
          <w:color w:val="000000" w:themeColor="text1"/>
          <w:szCs w:val="24"/>
        </w:rPr>
        <w:t xml:space="preserve"> para cezası verilir.</w:t>
      </w:r>
      <w:r w:rsidR="00492843" w:rsidRPr="00492843">
        <w:rPr>
          <w:noProof/>
        </w:rPr>
        <w:t xml:space="preserve"> </w:t>
      </w:r>
    </w:p>
    <w:p w:rsidR="006958A3" w:rsidRDefault="005A2FB2" w:rsidP="001D735B">
      <w:pPr>
        <w:rPr>
          <w:rFonts w:eastAsia="Calibri"/>
          <w:color w:val="000000" w:themeColor="text1"/>
          <w:szCs w:val="24"/>
        </w:rPr>
      </w:pPr>
      <w:r>
        <w:rPr>
          <w:rFonts w:eastAsia="Calibri"/>
          <w:color w:val="000000" w:themeColor="text1"/>
          <w:szCs w:val="24"/>
        </w:rPr>
        <w:t>-----4458 Sayılı Gümrük k</w:t>
      </w:r>
      <w:r w:rsidR="00C95563">
        <w:rPr>
          <w:rFonts w:eastAsia="Calibri"/>
          <w:color w:val="000000" w:themeColor="text1"/>
          <w:szCs w:val="24"/>
        </w:rPr>
        <w:t>anununun 238. Maddesinde</w:t>
      </w:r>
      <w:r>
        <w:rPr>
          <w:rFonts w:eastAsia="Calibri"/>
          <w:color w:val="000000" w:themeColor="text1"/>
          <w:szCs w:val="24"/>
        </w:rPr>
        <w:t xml:space="preserve"> yer alan,</w:t>
      </w:r>
      <w:r w:rsidR="00C95563">
        <w:rPr>
          <w:rFonts w:eastAsia="Calibri"/>
          <w:color w:val="000000" w:themeColor="text1"/>
          <w:szCs w:val="24"/>
        </w:rPr>
        <w:t xml:space="preserve"> ‘</w:t>
      </w:r>
      <w:r w:rsidR="00C95563" w:rsidRPr="00C95563">
        <w:rPr>
          <w:rFonts w:eastAsia="Calibri"/>
          <w:b/>
          <w:color w:val="000000" w:themeColor="text1"/>
          <w:szCs w:val="24"/>
        </w:rPr>
        <w:t xml:space="preserve">’dâhilde işleme rejimi kapsamı ithal eşyasının, işleme faaliyetindeki hali veya işlem görmüş ürün hali de dahil olmak üzere rejim çerçevesinde izin verilen yerlerde </w:t>
      </w:r>
      <w:hyperlink r:id="rId9" w:history="1">
        <w:r w:rsidR="00C95563" w:rsidRPr="00C95563">
          <w:rPr>
            <w:rFonts w:eastAsia="Calibri"/>
            <w:b/>
            <w:color w:val="000000" w:themeColor="text1"/>
            <w:szCs w:val="24"/>
          </w:rPr>
          <w:t>tespiti</w:t>
        </w:r>
      </w:hyperlink>
      <w:r w:rsidR="00C95563" w:rsidRPr="00C95563">
        <w:rPr>
          <w:rFonts w:eastAsia="Calibri"/>
          <w:b/>
          <w:color w:val="000000" w:themeColor="text1"/>
          <w:szCs w:val="24"/>
        </w:rPr>
        <w:t xml:space="preserve"> halinde </w:t>
      </w:r>
      <w:r w:rsidR="00C95563" w:rsidRPr="00C95563">
        <w:rPr>
          <w:b/>
        </w:rPr>
        <w:t>ithal eşyasının gümrük vergileri tutarının iki katı oranında para cezası verilir’’</w:t>
      </w:r>
      <w:r w:rsidR="00C95563">
        <w:t xml:space="preserve"> ibaresi,</w:t>
      </w:r>
      <w:r w:rsidR="00C95563" w:rsidRPr="00C95563">
        <w:rPr>
          <w:color w:val="FF0000"/>
        </w:rPr>
        <w:t xml:space="preserve"> </w:t>
      </w:r>
      <w:r w:rsidR="00C95563" w:rsidRPr="00C95563">
        <w:rPr>
          <w:b/>
          <w:color w:val="000000" w:themeColor="text1"/>
        </w:rPr>
        <w:t>dâhilde işleme rejimi kapsamı ithal eşyasının, gümrük gözetiminden gümrük mevzuatına aykırı olarak çıkarılmamış olduğunun tespiti halinde, ithal eşyasının gümrük vergileri tutarının iki katı oranında para cezası verilir</w:t>
      </w:r>
      <w:r w:rsidR="00C95563">
        <w:rPr>
          <w:b/>
          <w:color w:val="000000" w:themeColor="text1"/>
        </w:rPr>
        <w:t xml:space="preserve">’’ </w:t>
      </w:r>
      <w:r w:rsidR="00C95563" w:rsidRPr="00C95563">
        <w:rPr>
          <w:rFonts w:eastAsia="Calibri"/>
          <w:color w:val="000000" w:themeColor="text1"/>
          <w:szCs w:val="24"/>
        </w:rPr>
        <w:t>şeklinde düzenlenmiştir.</w:t>
      </w:r>
    </w:p>
    <w:p w:rsidR="00CC032D" w:rsidRPr="00492843" w:rsidRDefault="00CC032D" w:rsidP="001D735B">
      <w:pPr>
        <w:rPr>
          <w:noProof/>
        </w:rPr>
      </w:pPr>
      <w:r w:rsidRPr="0039052A">
        <w:rPr>
          <w:rFonts w:eastAsia="Calibri"/>
          <w:color w:val="000000" w:themeColor="text1"/>
          <w:szCs w:val="24"/>
        </w:rPr>
        <w:t xml:space="preserve">Ayrıca, </w:t>
      </w:r>
      <w:r w:rsidRPr="0039052A">
        <w:rPr>
          <w:rFonts w:eastAsia="Calibri"/>
          <w:b/>
          <w:color w:val="000000" w:themeColor="text1"/>
          <w:szCs w:val="24"/>
        </w:rPr>
        <w:t>geçici</w:t>
      </w:r>
      <w:r w:rsidRPr="00425082">
        <w:rPr>
          <w:rFonts w:eastAsia="Calibri"/>
          <w:b/>
          <w:color w:val="000000" w:themeColor="text1"/>
          <w:szCs w:val="24"/>
        </w:rPr>
        <w:t xml:space="preserve"> ithalat rejimi kapsamında ithal edilen eşyanın süresi içerisinde gümrükçe onaylanmış başka bir işlem veya kullanıma tabi tutulmaması durumunda ithal eşyasının tahsis yeri, tahsis amacı ve giriş ayniyetine uygun olarak bulunduğunun tespiti halinde gümrük vergileri tutarının iki katı para cezası verilir</w:t>
      </w:r>
      <w:r w:rsidR="0039052A">
        <w:rPr>
          <w:rFonts w:eastAsia="Calibri"/>
          <w:b/>
          <w:color w:val="000000" w:themeColor="text1"/>
          <w:szCs w:val="24"/>
        </w:rPr>
        <w:t xml:space="preserve">’’ </w:t>
      </w:r>
      <w:r w:rsidR="0039052A">
        <w:rPr>
          <w:rFonts w:eastAsia="Calibri"/>
          <w:color w:val="000000" w:themeColor="text1"/>
          <w:szCs w:val="24"/>
        </w:rPr>
        <w:t>şeklinde düzenleme yapılmıştır.</w:t>
      </w:r>
      <w:r w:rsidR="00492843" w:rsidRPr="00492843">
        <w:rPr>
          <w:noProof/>
        </w:rPr>
        <w:t xml:space="preserve"> </w:t>
      </w:r>
    </w:p>
    <w:p w:rsidR="00C95563" w:rsidRDefault="00C95563" w:rsidP="001D735B">
      <w:pPr>
        <w:rPr>
          <w:rFonts w:eastAsia="Calibri"/>
          <w:color w:val="000000" w:themeColor="text1"/>
          <w:szCs w:val="24"/>
        </w:rPr>
      </w:pPr>
      <w:r>
        <w:rPr>
          <w:rFonts w:eastAsia="Calibri"/>
          <w:color w:val="000000" w:themeColor="text1"/>
          <w:szCs w:val="24"/>
        </w:rPr>
        <w:t xml:space="preserve">------4458 sayılı kanuna göre </w:t>
      </w:r>
      <w:r w:rsidRPr="00297485">
        <w:rPr>
          <w:rFonts w:eastAsia="Calibri"/>
          <w:b/>
          <w:color w:val="000000" w:themeColor="text1"/>
          <w:szCs w:val="24"/>
        </w:rPr>
        <w:t>89</w:t>
      </w:r>
      <w:r>
        <w:rPr>
          <w:rFonts w:eastAsia="Calibri"/>
          <w:color w:val="000000" w:themeColor="text1"/>
          <w:szCs w:val="24"/>
        </w:rPr>
        <w:t xml:space="preserve"> TL olan usulsüzlük cezası </w:t>
      </w:r>
      <w:r w:rsidR="00090030">
        <w:rPr>
          <w:rFonts w:eastAsia="Calibri"/>
          <w:color w:val="000000" w:themeColor="text1"/>
          <w:szCs w:val="24"/>
        </w:rPr>
        <w:t xml:space="preserve">taslakta </w:t>
      </w:r>
      <w:r w:rsidRPr="00297485">
        <w:rPr>
          <w:rFonts w:eastAsia="Calibri"/>
          <w:b/>
          <w:color w:val="000000" w:themeColor="text1"/>
          <w:szCs w:val="24"/>
        </w:rPr>
        <w:t xml:space="preserve">100 </w:t>
      </w:r>
      <w:r>
        <w:rPr>
          <w:rFonts w:eastAsia="Calibri"/>
          <w:color w:val="000000" w:themeColor="text1"/>
          <w:szCs w:val="24"/>
        </w:rPr>
        <w:t>TL olarak d</w:t>
      </w:r>
      <w:r w:rsidR="00090030">
        <w:rPr>
          <w:rFonts w:eastAsia="Calibri"/>
          <w:color w:val="000000" w:themeColor="text1"/>
          <w:szCs w:val="24"/>
        </w:rPr>
        <w:t>üzenlenmiştir.</w:t>
      </w:r>
    </w:p>
    <w:p w:rsidR="00297485" w:rsidRDefault="00297485" w:rsidP="00297485">
      <w:pPr>
        <w:spacing w:after="0"/>
        <w:rPr>
          <w:rFonts w:ascii="Times New Roman" w:eastAsia="Times New Roman" w:hAnsi="Times New Roman" w:cs="Times New Roman"/>
          <w:sz w:val="24"/>
          <w:szCs w:val="24"/>
          <w:lang w:eastAsia="tr-TR"/>
        </w:rPr>
      </w:pPr>
      <w:r>
        <w:rPr>
          <w:rFonts w:eastAsia="Calibri"/>
          <w:color w:val="000000" w:themeColor="text1"/>
          <w:szCs w:val="24"/>
        </w:rPr>
        <w:t xml:space="preserve">------Taslakta, </w:t>
      </w:r>
      <w:r w:rsidRPr="00297485">
        <w:rPr>
          <w:rFonts w:eastAsia="Calibri"/>
          <w:b/>
          <w:color w:val="000000" w:themeColor="text1"/>
          <w:szCs w:val="24"/>
        </w:rPr>
        <w:t>standart beyanname</w:t>
      </w:r>
      <w:r>
        <w:rPr>
          <w:rFonts w:eastAsia="Calibri"/>
          <w:color w:val="000000" w:themeColor="text1"/>
          <w:szCs w:val="24"/>
        </w:rPr>
        <w:t xml:space="preserve"> ve </w:t>
      </w:r>
      <w:r w:rsidRPr="00297485">
        <w:rPr>
          <w:rFonts w:ascii="Times New Roman" w:eastAsia="Times New Roman" w:hAnsi="Times New Roman" w:cs="Times New Roman"/>
          <w:sz w:val="24"/>
          <w:szCs w:val="24"/>
          <w:lang w:eastAsia="tr-TR"/>
        </w:rPr>
        <w:t xml:space="preserve">beyannamede bulunması gereken bilgilerden veya destekleyici belgelerden bazılarının istenmediği </w:t>
      </w:r>
      <w:r w:rsidRPr="00297485">
        <w:rPr>
          <w:rFonts w:ascii="Times New Roman" w:eastAsia="Times New Roman" w:hAnsi="Times New Roman" w:cs="Times New Roman"/>
          <w:b/>
          <w:sz w:val="24"/>
          <w:szCs w:val="24"/>
          <w:lang w:eastAsia="tr-TR"/>
        </w:rPr>
        <w:t>basitleştirilmiş beyanname</w:t>
      </w:r>
      <w:r w:rsidRPr="00297485">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kavramlarına yer verilmiştir.</w:t>
      </w:r>
    </w:p>
    <w:p w:rsidR="00804703" w:rsidRPr="00297485" w:rsidRDefault="00804703" w:rsidP="00297485">
      <w:pPr>
        <w:spacing w:after="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----Taslakta, Gümrük Müşavirliği asgari ücret tarifesi ayrı bir madde olarak düzenlenmiştir.</w:t>
      </w:r>
    </w:p>
    <w:p w:rsidR="00297485" w:rsidRPr="00297485" w:rsidRDefault="00297485" w:rsidP="001D735B">
      <w:pPr>
        <w:rPr>
          <w:rFonts w:eastAsia="Calibri"/>
          <w:szCs w:val="24"/>
        </w:rPr>
      </w:pPr>
    </w:p>
    <w:sectPr w:rsidR="00297485" w:rsidRPr="002974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5A6" w:rsidRDefault="007B65A6" w:rsidP="00391BC0">
      <w:pPr>
        <w:spacing w:after="0" w:line="240" w:lineRule="auto"/>
      </w:pPr>
      <w:r>
        <w:separator/>
      </w:r>
    </w:p>
  </w:endnote>
  <w:endnote w:type="continuationSeparator" w:id="0">
    <w:p w:rsidR="007B65A6" w:rsidRDefault="007B65A6" w:rsidP="0039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5A6" w:rsidRDefault="007B65A6" w:rsidP="00391BC0">
      <w:pPr>
        <w:spacing w:after="0" w:line="240" w:lineRule="auto"/>
      </w:pPr>
      <w:r>
        <w:separator/>
      </w:r>
    </w:p>
  </w:footnote>
  <w:footnote w:type="continuationSeparator" w:id="0">
    <w:p w:rsidR="007B65A6" w:rsidRDefault="007B65A6" w:rsidP="00391BC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673286"/>
    <w:multiLevelType w:val="hybridMultilevel"/>
    <w:tmpl w:val="D7DCA7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7EFD0FEC"/>
    <w:multiLevelType w:val="hybridMultilevel"/>
    <w:tmpl w:val="F07E9A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AD"/>
    <w:rsid w:val="00033C28"/>
    <w:rsid w:val="000677B9"/>
    <w:rsid w:val="00090030"/>
    <w:rsid w:val="000978F6"/>
    <w:rsid w:val="000C65F5"/>
    <w:rsid w:val="00103353"/>
    <w:rsid w:val="001D735B"/>
    <w:rsid w:val="001E2666"/>
    <w:rsid w:val="00206BE1"/>
    <w:rsid w:val="00227881"/>
    <w:rsid w:val="002751B0"/>
    <w:rsid w:val="0029693B"/>
    <w:rsid w:val="00297485"/>
    <w:rsid w:val="00330048"/>
    <w:rsid w:val="00340D8D"/>
    <w:rsid w:val="00352E1D"/>
    <w:rsid w:val="0039052A"/>
    <w:rsid w:val="00391BC0"/>
    <w:rsid w:val="003D4E81"/>
    <w:rsid w:val="00423BBB"/>
    <w:rsid w:val="004909F7"/>
    <w:rsid w:val="00492843"/>
    <w:rsid w:val="00495CFB"/>
    <w:rsid w:val="004B19E9"/>
    <w:rsid w:val="004F0D82"/>
    <w:rsid w:val="005924B0"/>
    <w:rsid w:val="005A2FB2"/>
    <w:rsid w:val="006135AD"/>
    <w:rsid w:val="00642D0A"/>
    <w:rsid w:val="00691EC2"/>
    <w:rsid w:val="006958A3"/>
    <w:rsid w:val="006C391F"/>
    <w:rsid w:val="00703FAF"/>
    <w:rsid w:val="007124BC"/>
    <w:rsid w:val="0071630E"/>
    <w:rsid w:val="007B65A6"/>
    <w:rsid w:val="00804703"/>
    <w:rsid w:val="00823A19"/>
    <w:rsid w:val="00866993"/>
    <w:rsid w:val="0094376D"/>
    <w:rsid w:val="00953245"/>
    <w:rsid w:val="00976062"/>
    <w:rsid w:val="009D2015"/>
    <w:rsid w:val="00AA3CEC"/>
    <w:rsid w:val="00AB3B14"/>
    <w:rsid w:val="00B2371B"/>
    <w:rsid w:val="00BB1C5A"/>
    <w:rsid w:val="00C93A0E"/>
    <w:rsid w:val="00C95563"/>
    <w:rsid w:val="00CA6275"/>
    <w:rsid w:val="00CC032D"/>
    <w:rsid w:val="00D26E10"/>
    <w:rsid w:val="00ED567B"/>
    <w:rsid w:val="00F05C94"/>
    <w:rsid w:val="00F55D08"/>
    <w:rsid w:val="00F7507E"/>
    <w:rsid w:val="00F91937"/>
    <w:rsid w:val="00F926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735B"/>
    <w:pPr>
      <w:ind w:left="720"/>
      <w:contextualSpacing/>
    </w:pPr>
  </w:style>
  <w:style w:type="paragraph" w:styleId="DipnotMetni">
    <w:name w:val="footnote text"/>
    <w:basedOn w:val="Normal"/>
    <w:link w:val="DipnotMetniChar"/>
    <w:semiHidden/>
    <w:unhideWhenUsed/>
    <w:rsid w:val="00391BC0"/>
    <w:pPr>
      <w:spacing w:after="0"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semiHidden/>
    <w:rsid w:val="00391BC0"/>
    <w:rPr>
      <w:rFonts w:ascii="Times New Roman" w:eastAsia="Times New Roman" w:hAnsi="Times New Roman" w:cs="Times New Roman"/>
      <w:sz w:val="24"/>
      <w:szCs w:val="24"/>
      <w:lang w:eastAsia="tr-TR"/>
    </w:rPr>
  </w:style>
  <w:style w:type="character" w:styleId="DipnotBavurusu">
    <w:name w:val="footnote reference"/>
    <w:basedOn w:val="VarsaylanParagrafYazTipi"/>
    <w:semiHidden/>
    <w:unhideWhenUsed/>
    <w:rsid w:val="00391BC0"/>
    <w:rPr>
      <w:vertAlign w:val="superscript"/>
    </w:rPr>
  </w:style>
  <w:style w:type="character" w:styleId="Kpr">
    <w:name w:val="Hyperlink"/>
    <w:basedOn w:val="VarsaylanParagrafYazTipi"/>
    <w:semiHidden/>
    <w:unhideWhenUsed/>
    <w:rsid w:val="00423B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735B"/>
    <w:pPr>
      <w:ind w:left="720"/>
      <w:contextualSpacing/>
    </w:pPr>
  </w:style>
  <w:style w:type="paragraph" w:styleId="DipnotMetni">
    <w:name w:val="footnote text"/>
    <w:basedOn w:val="Normal"/>
    <w:link w:val="DipnotMetniChar"/>
    <w:semiHidden/>
    <w:unhideWhenUsed/>
    <w:rsid w:val="00391BC0"/>
    <w:pPr>
      <w:spacing w:after="0"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semiHidden/>
    <w:rsid w:val="00391BC0"/>
    <w:rPr>
      <w:rFonts w:ascii="Times New Roman" w:eastAsia="Times New Roman" w:hAnsi="Times New Roman" w:cs="Times New Roman"/>
      <w:sz w:val="24"/>
      <w:szCs w:val="24"/>
      <w:lang w:eastAsia="tr-TR"/>
    </w:rPr>
  </w:style>
  <w:style w:type="character" w:styleId="DipnotBavurusu">
    <w:name w:val="footnote reference"/>
    <w:basedOn w:val="VarsaylanParagrafYazTipi"/>
    <w:semiHidden/>
    <w:unhideWhenUsed/>
    <w:rsid w:val="00391BC0"/>
    <w:rPr>
      <w:vertAlign w:val="superscript"/>
    </w:rPr>
  </w:style>
  <w:style w:type="character" w:styleId="Kpr">
    <w:name w:val="Hyperlink"/>
    <w:basedOn w:val="VarsaylanParagrafYazTipi"/>
    <w:semiHidden/>
    <w:unhideWhenUsed/>
    <w:rsid w:val="00423B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364208">
      <w:bodyDiv w:val="1"/>
      <w:marLeft w:val="0"/>
      <w:marRight w:val="0"/>
      <w:marTop w:val="0"/>
      <w:marBottom w:val="0"/>
      <w:divBdr>
        <w:top w:val="none" w:sz="0" w:space="0" w:color="auto"/>
        <w:left w:val="none" w:sz="0" w:space="0" w:color="auto"/>
        <w:bottom w:val="none" w:sz="0" w:space="0" w:color="auto"/>
        <w:right w:val="none" w:sz="0" w:space="0" w:color="auto"/>
      </w:divBdr>
    </w:div>
    <w:div w:id="2056543126">
      <w:bodyDiv w:val="1"/>
      <w:marLeft w:val="0"/>
      <w:marRight w:val="0"/>
      <w:marTop w:val="0"/>
      <w:marBottom w:val="0"/>
      <w:divBdr>
        <w:top w:val="none" w:sz="0" w:space="0" w:color="auto"/>
        <w:left w:val="none" w:sz="0" w:space="0" w:color="auto"/>
        <w:bottom w:val="none" w:sz="0" w:space="0" w:color="auto"/>
        <w:right w:val="none" w:sz="0" w:space="0" w:color="auto"/>
      </w:divBdr>
    </w:div>
    <w:div w:id="212064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Program%20Files\PCGumruk\G&#252;mr&#252;k%20Mevzuat&#305;\Dosyalar\Tasarruflu%20Yaz&#305;lar\16.03.2016%2014615267%20Dahilde%20&#304;&#351;leme%20238.%20maddesi%20uygulamas&#305;nda%20e&#351;yan&#305;n%20izin%20verilen%20yerlerdeki%20tespit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DF0DE-7EEC-4776-910A-61FFF2EF2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2194</Words>
  <Characters>12512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önal yılmaz</dc:creator>
  <cp:lastModifiedBy>Önal YILMAZ – ASSET GÜMRÜK MÜŞAVİRLİĞİ / İSTANBUL</cp:lastModifiedBy>
  <cp:revision>2</cp:revision>
  <dcterms:created xsi:type="dcterms:W3CDTF">2016-12-12T10:38:00Z</dcterms:created>
  <dcterms:modified xsi:type="dcterms:W3CDTF">2016-12-12T10:38:00Z</dcterms:modified>
</cp:coreProperties>
</file>