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60"/>
      </w:tblGrid>
      <w:tr w:rsidR="005019AA" w:rsidRPr="005019AA" w:rsidTr="005019AA">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5019AA" w:rsidRPr="005019AA">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5019AA" w:rsidRPr="005019AA">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480"/>
                        </w:tblGrid>
                        <w:tr w:rsidR="005019AA" w:rsidRPr="005019AA">
                          <w:tc>
                            <w:tcPr>
                              <w:tcW w:w="0" w:type="auto"/>
                              <w:vAlign w:val="center"/>
                              <w:hideMark/>
                            </w:tcPr>
                            <w:p w:rsidR="005019AA" w:rsidRPr="005019AA" w:rsidRDefault="005019AA" w:rsidP="005019AA">
                              <w:pPr>
                                <w:spacing w:after="0" w:line="240" w:lineRule="auto"/>
                                <w:jc w:val="center"/>
                                <w:rPr>
                                  <w:rFonts w:ascii="Verdana" w:eastAsia="Times New Roman" w:hAnsi="Verdana" w:cs="Times New Roman"/>
                                  <w:b/>
                                  <w:bCs/>
                                  <w:color w:val="9CA4BE"/>
                                  <w:sz w:val="18"/>
                                  <w:szCs w:val="18"/>
                                  <w:lang w:eastAsia="tr-TR"/>
                                </w:rPr>
                              </w:pPr>
                              <w:r w:rsidRPr="005019AA">
                                <w:rPr>
                                  <w:rFonts w:ascii="Verdana" w:eastAsia="Times New Roman" w:hAnsi="Verdana" w:cs="Times New Roman"/>
                                  <w:b/>
                                  <w:bCs/>
                                  <w:color w:val="9CA4BE"/>
                                  <w:sz w:val="18"/>
                                  <w:szCs w:val="18"/>
                                  <w:lang w:eastAsia="tr-TR"/>
                                </w:rPr>
                                <w:t>TASARRUFLU YAZI (05.06.2017/25501654)</w:t>
                              </w:r>
                            </w:p>
                          </w:tc>
                        </w:tr>
                        <w:tr w:rsidR="005019AA" w:rsidRPr="005019AA">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tblGrid>
                              <w:tr w:rsidR="005019AA" w:rsidRPr="005019AA">
                                <w:trPr>
                                  <w:tblCellSpacing w:w="15" w:type="dxa"/>
                                </w:trPr>
                                <w:tc>
                                  <w:tcPr>
                                    <w:tcW w:w="0" w:type="auto"/>
                                    <w:vAlign w:val="center"/>
                                    <w:hideMark/>
                                  </w:tcPr>
                                  <w:p w:rsidR="005019AA" w:rsidRPr="005019AA" w:rsidRDefault="005019AA" w:rsidP="005019AA">
                                    <w:pPr>
                                      <w:spacing w:after="0" w:line="240" w:lineRule="auto"/>
                                      <w:jc w:val="center"/>
                                      <w:rPr>
                                        <w:rFonts w:ascii="Verdana" w:eastAsia="Times New Roman" w:hAnsi="Verdana" w:cs="Times New Roman"/>
                                        <w:b/>
                                        <w:bCs/>
                                        <w:color w:val="9CA4BE"/>
                                        <w:sz w:val="18"/>
                                        <w:szCs w:val="18"/>
                                        <w:lang w:eastAsia="tr-TR"/>
                                      </w:rPr>
                                    </w:pPr>
                                  </w:p>
                                </w:tc>
                              </w:tr>
                            </w:tbl>
                            <w:p w:rsidR="005019AA" w:rsidRPr="005019AA" w:rsidRDefault="005019AA" w:rsidP="005019AA">
                              <w:pPr>
                                <w:spacing w:after="0" w:line="240" w:lineRule="auto"/>
                                <w:rPr>
                                  <w:rFonts w:ascii="Times New Roman" w:eastAsia="Times New Roman" w:hAnsi="Times New Roman" w:cs="Times New Roman"/>
                                  <w:sz w:val="24"/>
                                  <w:szCs w:val="24"/>
                                  <w:lang w:eastAsia="tr-TR"/>
                                </w:rPr>
                              </w:pPr>
                            </w:p>
                          </w:tc>
                        </w:tr>
                        <w:tr w:rsidR="005019AA" w:rsidRPr="005019AA">
                          <w:tc>
                            <w:tcPr>
                              <w:tcW w:w="0" w:type="auto"/>
                              <w:tcMar>
                                <w:top w:w="300" w:type="dxa"/>
                                <w:left w:w="150" w:type="dxa"/>
                                <w:bottom w:w="0" w:type="dxa"/>
                                <w:right w:w="150" w:type="dxa"/>
                              </w:tcMar>
                              <w:vAlign w:val="center"/>
                              <w:hideMark/>
                            </w:tcPr>
                            <w:p w:rsidR="005019AA" w:rsidRPr="005019AA" w:rsidRDefault="005019AA" w:rsidP="005019AA">
                              <w:pPr>
                                <w:spacing w:before="100" w:beforeAutospacing="1" w:after="100" w:afterAutospacing="1" w:line="240" w:lineRule="auto"/>
                                <w:jc w:val="center"/>
                                <w:rPr>
                                  <w:rFonts w:ascii="Arial" w:eastAsia="Times New Roman" w:hAnsi="Arial" w:cs="Arial"/>
                                  <w:color w:val="000000"/>
                                  <w:sz w:val="18"/>
                                  <w:szCs w:val="18"/>
                                  <w:lang w:eastAsia="tr-TR"/>
                                </w:rPr>
                              </w:pPr>
                              <w:r w:rsidRPr="005019AA">
                                <w:rPr>
                                  <w:rFonts w:ascii="Verdana" w:eastAsia="Times New Roman" w:hAnsi="Verdana" w:cs="Arial"/>
                                  <w:b/>
                                  <w:bCs/>
                                  <w:color w:val="000000"/>
                                  <w:sz w:val="20"/>
                                  <w:szCs w:val="20"/>
                                  <w:lang w:eastAsia="tr-TR"/>
                                </w:rPr>
                                <w:t>T.C.</w:t>
                              </w:r>
                            </w:p>
                            <w:p w:rsidR="005019AA" w:rsidRPr="005019AA" w:rsidRDefault="005019AA" w:rsidP="005019AA">
                              <w:pPr>
                                <w:spacing w:before="100" w:beforeAutospacing="1" w:after="100" w:afterAutospacing="1" w:line="240" w:lineRule="auto"/>
                                <w:jc w:val="center"/>
                                <w:rPr>
                                  <w:rFonts w:ascii="Arial" w:eastAsia="Times New Roman" w:hAnsi="Arial" w:cs="Arial"/>
                                  <w:color w:val="000000"/>
                                  <w:sz w:val="18"/>
                                  <w:szCs w:val="18"/>
                                  <w:lang w:eastAsia="tr-TR"/>
                                </w:rPr>
                              </w:pPr>
                              <w:r w:rsidRPr="005019AA">
                                <w:rPr>
                                  <w:rFonts w:ascii="Verdana" w:eastAsia="Times New Roman" w:hAnsi="Verdana" w:cs="Arial"/>
                                  <w:b/>
                                  <w:bCs/>
                                  <w:color w:val="000000"/>
                                  <w:sz w:val="20"/>
                                  <w:szCs w:val="20"/>
                                  <w:lang w:eastAsia="tr-TR"/>
                                </w:rPr>
                                <w:t>GÜMRÜK VE TİCARET BAKANLIĞI</w:t>
                              </w:r>
                            </w:p>
                            <w:p w:rsidR="005019AA" w:rsidRPr="005019AA" w:rsidRDefault="005019AA" w:rsidP="005019AA">
                              <w:pPr>
                                <w:spacing w:before="100" w:beforeAutospacing="1" w:after="100" w:afterAutospacing="1" w:line="240" w:lineRule="auto"/>
                                <w:jc w:val="center"/>
                                <w:rPr>
                                  <w:rFonts w:ascii="Arial" w:eastAsia="Times New Roman" w:hAnsi="Arial" w:cs="Arial"/>
                                  <w:color w:val="000000"/>
                                  <w:sz w:val="18"/>
                                  <w:szCs w:val="18"/>
                                  <w:lang w:eastAsia="tr-TR"/>
                                </w:rPr>
                              </w:pPr>
                              <w:r w:rsidRPr="005019AA">
                                <w:rPr>
                                  <w:rFonts w:ascii="Verdana" w:eastAsia="Times New Roman" w:hAnsi="Verdana" w:cs="Arial"/>
                                  <w:b/>
                                  <w:bCs/>
                                  <w:color w:val="000000"/>
                                  <w:sz w:val="20"/>
                                  <w:szCs w:val="20"/>
                                  <w:lang w:eastAsia="tr-TR"/>
                                </w:rPr>
                                <w:t>Gümrükler Genel Müdürlüğü</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proofErr w:type="gramStart"/>
                              <w:r w:rsidRPr="005019AA">
                                <w:rPr>
                                  <w:rFonts w:ascii="Verdana" w:eastAsia="Times New Roman" w:hAnsi="Verdana" w:cs="Arial"/>
                                  <w:b/>
                                  <w:bCs/>
                                  <w:color w:val="000000"/>
                                  <w:sz w:val="20"/>
                                  <w:szCs w:val="20"/>
                                  <w:lang w:eastAsia="tr-TR"/>
                                </w:rPr>
                                <w:t>Sayı     :</w:t>
                              </w:r>
                              <w:r w:rsidRPr="005019AA">
                                <w:rPr>
                                  <w:rFonts w:ascii="Verdana" w:eastAsia="Times New Roman" w:hAnsi="Verdana" w:cs="Arial"/>
                                  <w:color w:val="000000"/>
                                  <w:sz w:val="20"/>
                                  <w:szCs w:val="20"/>
                                  <w:lang w:eastAsia="tr-TR"/>
                                </w:rPr>
                                <w:t>18723479</w:t>
                              </w:r>
                              <w:proofErr w:type="gramEnd"/>
                              <w:r w:rsidRPr="005019AA">
                                <w:rPr>
                                  <w:rFonts w:ascii="Verdana" w:eastAsia="Times New Roman" w:hAnsi="Verdana" w:cs="Arial"/>
                                  <w:color w:val="000000"/>
                                  <w:sz w:val="20"/>
                                  <w:szCs w:val="20"/>
                                  <w:lang w:eastAsia="tr-TR"/>
                                </w:rPr>
                                <w:t>-153.16</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proofErr w:type="gramStart"/>
                              <w:r w:rsidRPr="005019AA">
                                <w:rPr>
                                  <w:rFonts w:ascii="Verdana" w:eastAsia="Times New Roman" w:hAnsi="Verdana" w:cs="Arial"/>
                                  <w:b/>
                                  <w:bCs/>
                                  <w:color w:val="000000"/>
                                  <w:sz w:val="20"/>
                                  <w:szCs w:val="20"/>
                                  <w:lang w:eastAsia="tr-TR"/>
                                </w:rPr>
                                <w:t>Konu   :</w:t>
                              </w:r>
                              <w:r w:rsidRPr="005019AA">
                                <w:rPr>
                                  <w:rFonts w:ascii="Verdana" w:eastAsia="Times New Roman" w:hAnsi="Verdana" w:cs="Arial"/>
                                  <w:color w:val="000000"/>
                                  <w:sz w:val="20"/>
                                  <w:szCs w:val="20"/>
                                  <w:lang w:eastAsia="tr-TR"/>
                                </w:rPr>
                                <w:t>Gümrük</w:t>
                              </w:r>
                              <w:proofErr w:type="gramEnd"/>
                              <w:r w:rsidRPr="005019AA">
                                <w:rPr>
                                  <w:rFonts w:ascii="Verdana" w:eastAsia="Times New Roman" w:hAnsi="Verdana" w:cs="Arial"/>
                                  <w:color w:val="000000"/>
                                  <w:sz w:val="20"/>
                                  <w:szCs w:val="20"/>
                                  <w:lang w:eastAsia="tr-TR"/>
                                </w:rPr>
                                <w:t xml:space="preserve"> Kanununun 235/3.</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r w:rsidRPr="005019AA">
                                <w:rPr>
                                  <w:rFonts w:ascii="Verdana" w:eastAsia="Times New Roman" w:hAnsi="Verdana" w:cs="Arial"/>
                                  <w:color w:val="000000"/>
                                  <w:sz w:val="20"/>
                                  <w:szCs w:val="20"/>
                                  <w:lang w:eastAsia="tr-TR"/>
                                </w:rPr>
                                <w:t xml:space="preserve"> Maddesinin Uygulanması </w:t>
                              </w:r>
                              <w:proofErr w:type="spellStart"/>
                              <w:r w:rsidRPr="005019AA">
                                <w:rPr>
                                  <w:rFonts w:ascii="Verdana" w:eastAsia="Times New Roman" w:hAnsi="Verdana" w:cs="Arial"/>
                                  <w:color w:val="000000"/>
                                  <w:sz w:val="20"/>
                                  <w:szCs w:val="20"/>
                                  <w:lang w:eastAsia="tr-TR"/>
                                </w:rPr>
                                <w:t>Hk</w:t>
                              </w:r>
                              <w:proofErr w:type="spellEnd"/>
                              <w:r w:rsidRPr="005019AA">
                                <w:rPr>
                                  <w:rFonts w:ascii="Verdana" w:eastAsia="Times New Roman" w:hAnsi="Verdana" w:cs="Arial"/>
                                  <w:color w:val="000000"/>
                                  <w:sz w:val="20"/>
                                  <w:szCs w:val="20"/>
                                  <w:lang w:eastAsia="tr-TR"/>
                                </w:rPr>
                                <w:t>.</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r w:rsidRPr="005019AA">
                                <w:rPr>
                                  <w:rFonts w:ascii="Verdana" w:eastAsia="Times New Roman" w:hAnsi="Verdana" w:cs="Arial"/>
                                  <w:b/>
                                  <w:bCs/>
                                  <w:color w:val="000000"/>
                                  <w:sz w:val="20"/>
                                  <w:szCs w:val="20"/>
                                  <w:lang w:eastAsia="tr-TR"/>
                                </w:rPr>
                                <w:t> </w:t>
                              </w:r>
                            </w:p>
                            <w:p w:rsidR="005019AA" w:rsidRPr="005019AA" w:rsidRDefault="005019AA" w:rsidP="005019AA">
                              <w:pPr>
                                <w:spacing w:before="100" w:beforeAutospacing="1" w:after="100" w:afterAutospacing="1" w:line="240" w:lineRule="auto"/>
                                <w:jc w:val="center"/>
                                <w:rPr>
                                  <w:rFonts w:ascii="Arial" w:eastAsia="Times New Roman" w:hAnsi="Arial" w:cs="Arial"/>
                                  <w:color w:val="000000"/>
                                  <w:sz w:val="18"/>
                                  <w:szCs w:val="18"/>
                                  <w:lang w:eastAsia="tr-TR"/>
                                </w:rPr>
                              </w:pPr>
                              <w:r w:rsidRPr="005019AA">
                                <w:rPr>
                                  <w:rFonts w:ascii="Verdana" w:eastAsia="Times New Roman" w:hAnsi="Verdana" w:cs="Arial"/>
                                  <w:b/>
                                  <w:bCs/>
                                  <w:color w:val="000000"/>
                                  <w:sz w:val="20"/>
                                  <w:szCs w:val="20"/>
                                  <w:lang w:eastAsia="tr-TR"/>
                                </w:rPr>
                                <w:t xml:space="preserve">05.06.2017 / </w:t>
                              </w:r>
                              <w:proofErr w:type="gramStart"/>
                              <w:r w:rsidRPr="005019AA">
                                <w:rPr>
                                  <w:rFonts w:ascii="Verdana" w:eastAsia="Times New Roman" w:hAnsi="Verdana" w:cs="Arial"/>
                                  <w:b/>
                                  <w:bCs/>
                                  <w:color w:val="000000"/>
                                  <w:sz w:val="20"/>
                                  <w:szCs w:val="20"/>
                                  <w:lang w:eastAsia="tr-TR"/>
                                </w:rPr>
                                <w:t>25501654</w:t>
                              </w:r>
                              <w:proofErr w:type="gramEnd"/>
                            </w:p>
                            <w:p w:rsidR="005019AA" w:rsidRPr="005019AA" w:rsidRDefault="005019AA" w:rsidP="005019AA">
                              <w:pPr>
                                <w:spacing w:before="100" w:beforeAutospacing="1" w:after="100" w:afterAutospacing="1" w:line="240" w:lineRule="auto"/>
                                <w:jc w:val="center"/>
                                <w:rPr>
                                  <w:rFonts w:ascii="Arial" w:eastAsia="Times New Roman" w:hAnsi="Arial" w:cs="Arial"/>
                                  <w:color w:val="000000"/>
                                  <w:sz w:val="18"/>
                                  <w:szCs w:val="18"/>
                                  <w:lang w:eastAsia="tr-TR"/>
                                </w:rPr>
                              </w:pPr>
                              <w:r w:rsidRPr="005019AA">
                                <w:rPr>
                                  <w:rFonts w:ascii="Verdana" w:eastAsia="Times New Roman" w:hAnsi="Verdana" w:cs="Arial"/>
                                  <w:b/>
                                  <w:bCs/>
                                  <w:color w:val="000000"/>
                                  <w:sz w:val="20"/>
                                  <w:szCs w:val="20"/>
                                  <w:lang w:eastAsia="tr-TR"/>
                                </w:rPr>
                                <w:t>DAĞITIM YERLERİNE</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proofErr w:type="gramStart"/>
                              <w:r w:rsidRPr="005019AA">
                                <w:rPr>
                                  <w:rFonts w:ascii="Verdana" w:eastAsia="Times New Roman" w:hAnsi="Verdana" w:cs="Arial"/>
                                  <w:color w:val="000000"/>
                                  <w:sz w:val="20"/>
                                  <w:szCs w:val="20"/>
                                  <w:lang w:eastAsia="tr-TR"/>
                                </w:rPr>
                                <w:t xml:space="preserve">Bakanlığımıza intikal ettirilen bilgilerden, yolcu eşyasına yönelik mevzuatın nasıl uygulanacağını açıklayan 16.01.2014 tarihli ve </w:t>
                              </w:r>
                              <w:hyperlink r:id="rId4" w:history="1">
                                <w:r w:rsidRPr="005019AA">
                                  <w:rPr>
                                    <w:rFonts w:ascii="Verdana" w:eastAsia="Times New Roman" w:hAnsi="Verdana" w:cs="Arial"/>
                                    <w:b/>
                                    <w:bCs/>
                                    <w:color w:val="104E83"/>
                                    <w:sz w:val="20"/>
                                    <w:szCs w:val="20"/>
                                    <w:lang w:eastAsia="tr-TR"/>
                                  </w:rPr>
                                  <w:t>2014/2 sayılı</w:t>
                                </w:r>
                              </w:hyperlink>
                              <w:r w:rsidRPr="005019AA">
                                <w:rPr>
                                  <w:rFonts w:ascii="Verdana" w:eastAsia="Times New Roman" w:hAnsi="Verdana" w:cs="Arial"/>
                                  <w:color w:val="000000"/>
                                  <w:sz w:val="20"/>
                                  <w:szCs w:val="20"/>
                                  <w:lang w:eastAsia="tr-TR"/>
                                </w:rPr>
                                <w:t xml:space="preserve"> Genelge'nin 1 inci maddesinde, yeşil hattan geçen yolcunun gümrük personelince yapılan kontrolde beyanına aykırı ve ticari mahiyette olmayan muafiyet kapsamı dışındaki eşyaya 4458 sayılı Gümrük Kanunu'nun </w:t>
                              </w:r>
                              <w:hyperlink r:id="rId5" w:anchor="MADDE_235" w:history="1">
                                <w:r w:rsidRPr="005019AA">
                                  <w:rPr>
                                    <w:rFonts w:ascii="Verdana" w:eastAsia="Times New Roman" w:hAnsi="Verdana" w:cs="Arial"/>
                                    <w:b/>
                                    <w:bCs/>
                                    <w:color w:val="104E83"/>
                                    <w:sz w:val="20"/>
                                    <w:szCs w:val="20"/>
                                    <w:lang w:eastAsia="tr-TR"/>
                                  </w:rPr>
                                  <w:t>235/3 üncü</w:t>
                                </w:r>
                              </w:hyperlink>
                              <w:r w:rsidRPr="005019AA">
                                <w:rPr>
                                  <w:rFonts w:ascii="Verdana" w:eastAsia="Times New Roman" w:hAnsi="Verdana" w:cs="Arial"/>
                                  <w:color w:val="000000"/>
                                  <w:sz w:val="20"/>
                                  <w:szCs w:val="20"/>
                                  <w:lang w:eastAsia="tr-TR"/>
                                </w:rPr>
                                <w:t xml:space="preserve"> maddesi çerçevesinde işlem yapılması gerektiği, Genelge'nin 5 inci maddesinde de, yolcu beraberi olarak getirilen ve gümrüğe sunulmayan bu eşyanın gümrük vergilerinin iki katı ödenmemesi durumunda anılan Kanunun </w:t>
                              </w:r>
                              <w:hyperlink r:id="rId6" w:anchor="MADDE_48_2" w:history="1">
                                <w:r w:rsidRPr="005019AA">
                                  <w:rPr>
                                    <w:rFonts w:ascii="Verdana" w:eastAsia="Times New Roman" w:hAnsi="Verdana" w:cs="Arial"/>
                                    <w:b/>
                                    <w:bCs/>
                                    <w:color w:val="104E83"/>
                                    <w:sz w:val="20"/>
                                    <w:szCs w:val="20"/>
                                    <w:lang w:eastAsia="tr-TR"/>
                                  </w:rPr>
                                  <w:t xml:space="preserve">48/2 </w:t>
                                </w:r>
                                <w:proofErr w:type="spellStart"/>
                                <w:r w:rsidRPr="005019AA">
                                  <w:rPr>
                                    <w:rFonts w:ascii="Verdana" w:eastAsia="Times New Roman" w:hAnsi="Verdana" w:cs="Arial"/>
                                    <w:b/>
                                    <w:bCs/>
                                    <w:color w:val="104E83"/>
                                    <w:sz w:val="20"/>
                                    <w:szCs w:val="20"/>
                                    <w:lang w:eastAsia="tr-TR"/>
                                  </w:rPr>
                                  <w:t>nci</w:t>
                                </w:r>
                                <w:proofErr w:type="spellEnd"/>
                              </w:hyperlink>
                              <w:r w:rsidRPr="005019AA">
                                <w:rPr>
                                  <w:rFonts w:ascii="Verdana" w:eastAsia="Times New Roman" w:hAnsi="Verdana" w:cs="Arial"/>
                                  <w:color w:val="000000"/>
                                  <w:sz w:val="20"/>
                                  <w:szCs w:val="20"/>
                                  <w:lang w:eastAsia="tr-TR"/>
                                </w:rPr>
                                <w:t xml:space="preserve"> maddesi uygulanmaksızın gümrüğe terk edilmiş sayılarak işlemlerin gerçekleştirilmesi gerektiği ifade edilmesine karşın, bu eşyanın işlemlerinin aynı Genelge'nin 2 </w:t>
                              </w:r>
                              <w:proofErr w:type="spellStart"/>
                              <w:r w:rsidRPr="005019AA">
                                <w:rPr>
                                  <w:rFonts w:ascii="Verdana" w:eastAsia="Times New Roman" w:hAnsi="Verdana" w:cs="Arial"/>
                                  <w:color w:val="000000"/>
                                  <w:sz w:val="20"/>
                                  <w:szCs w:val="20"/>
                                  <w:lang w:eastAsia="tr-TR"/>
                                </w:rPr>
                                <w:t>nci</w:t>
                              </w:r>
                              <w:proofErr w:type="spellEnd"/>
                              <w:r w:rsidRPr="005019AA">
                                <w:rPr>
                                  <w:rFonts w:ascii="Verdana" w:eastAsia="Times New Roman" w:hAnsi="Verdana" w:cs="Arial"/>
                                  <w:color w:val="000000"/>
                                  <w:sz w:val="20"/>
                                  <w:szCs w:val="20"/>
                                  <w:lang w:eastAsia="tr-TR"/>
                                </w:rPr>
                                <w:t xml:space="preserve"> maddesi çerçevesinde gerçekleştirilmeye çalışıldığı, eşyanın yolcu eşyasına mahsus gümrük ambarlarına alındığı ve yolcuların söz konusu eşyaya ilişkin herhangi bir gümrük beyanında bulunmaması veya geç bulunması nedeniyle gümrük idarelerimiz nezdinde iş yükü oluştuğu, yolcu eşyası ambarlarının kapasitesi üzerine çıktığı ve süresi içerisinde tasfiye işlemlerine başlanılmadığı anlaşılmaktadır.</w:t>
                              </w:r>
                              <w:proofErr w:type="gramEnd"/>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proofErr w:type="gramStart"/>
                              <w:r w:rsidRPr="005019AA">
                                <w:rPr>
                                  <w:rFonts w:ascii="Verdana" w:eastAsia="Times New Roman" w:hAnsi="Verdana" w:cs="Arial"/>
                                  <w:color w:val="000000"/>
                                  <w:sz w:val="20"/>
                                  <w:szCs w:val="20"/>
                                  <w:lang w:eastAsia="tr-TR"/>
                                </w:rPr>
                                <w:t>Bilindiği üzere, 4458 sayılı Gümrük Kanunun 235/3 maddesi </w:t>
                              </w:r>
                              <w:r w:rsidRPr="005019AA">
                                <w:rPr>
                                  <w:rFonts w:ascii="Verdana" w:eastAsia="Times New Roman" w:hAnsi="Verdana" w:cs="Arial"/>
                                  <w:i/>
                                  <w:iCs/>
                                  <w:color w:val="000000"/>
                                  <w:sz w:val="20"/>
                                  <w:szCs w:val="20"/>
                                  <w:lang w:eastAsia="tr-TR"/>
                                </w:rPr>
                                <w:t xml:space="preserve">" Yolcuların, gümrük mevzuatına göre kişisel ve hediyelik eşya kapsamı dışında olup beyanlarına aykırı olarak üzerlerinde, eşyası arasında veya taşıma araçlarında çıkan ya da başkasına ait olduğu halde kendi eşyasıymış gibi gösterdikleri eşyanın gümrük vergileri iki kat olarak alınır ve eşya sahibine teslim edilir. </w:t>
                              </w:r>
                              <w:proofErr w:type="gramEnd"/>
                              <w:r w:rsidRPr="005019AA">
                                <w:rPr>
                                  <w:rFonts w:ascii="Verdana" w:eastAsia="Times New Roman" w:hAnsi="Verdana" w:cs="Arial"/>
                                  <w:i/>
                                  <w:iCs/>
                                  <w:color w:val="000000"/>
                                  <w:sz w:val="20"/>
                                  <w:szCs w:val="20"/>
                                  <w:lang w:eastAsia="tr-TR"/>
                                </w:rPr>
                                <w:t>Gümrük vergileri ödenmediği takdirde, eşya gümrüğe terk edilmiş sayılır." </w:t>
                              </w:r>
                              <w:r w:rsidRPr="005019AA">
                                <w:rPr>
                                  <w:rFonts w:ascii="Verdana" w:eastAsia="Times New Roman" w:hAnsi="Verdana" w:cs="Arial"/>
                                  <w:color w:val="000000"/>
                                  <w:sz w:val="20"/>
                                  <w:szCs w:val="20"/>
                                  <w:lang w:eastAsia="tr-TR"/>
                                </w:rPr>
                                <w:t>hükmüne amirdir.</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proofErr w:type="gramStart"/>
                              <w:r w:rsidRPr="005019AA">
                                <w:rPr>
                                  <w:rFonts w:ascii="Verdana" w:eastAsia="Times New Roman" w:hAnsi="Verdana" w:cs="Arial"/>
                                  <w:color w:val="000000"/>
                                  <w:sz w:val="20"/>
                                  <w:szCs w:val="20"/>
                                  <w:lang w:eastAsia="tr-TR"/>
                                </w:rPr>
                                <w:t>Bununla birlikte, 2014/2 sayılı Genelgenin 5 inci maddesinde yer verilen </w:t>
                              </w:r>
                              <w:r w:rsidRPr="005019AA">
                                <w:rPr>
                                  <w:rFonts w:ascii="Verdana" w:eastAsia="Times New Roman" w:hAnsi="Verdana" w:cs="Arial"/>
                                  <w:i/>
                                  <w:iCs/>
                                  <w:color w:val="000000"/>
                                  <w:sz w:val="20"/>
                                  <w:szCs w:val="20"/>
                                  <w:lang w:eastAsia="tr-TR"/>
                                </w:rPr>
                                <w:t>" Gümrük Kanununun 235/3 üncü maddesi uyarınca iki kat olarak ödenmesi öngörülen gümrük vergilerinin ödenmemesi halinde, eşyanın anılan Kanunun 48 inci maddesinin ikinci fıkrası uygulanmaksızın gümrüğe terk edilmiş sayılarak işlemlerin bu çerçevede tekemmül ettirilmesi hususunda gerekli titizliğin gösterilmesi gerekmektedir." </w:t>
                              </w:r>
                              <w:r w:rsidRPr="005019AA">
                                <w:rPr>
                                  <w:rFonts w:ascii="Verdana" w:eastAsia="Times New Roman" w:hAnsi="Verdana" w:cs="Arial"/>
                                  <w:color w:val="000000"/>
                                  <w:sz w:val="20"/>
                                  <w:szCs w:val="20"/>
                                  <w:lang w:eastAsia="tr-TR"/>
                                </w:rPr>
                                <w:t>hükmüyle söz konusu Kanun maddesinin nasıl uygulanacağına açıklık getirilmiştir.</w:t>
                              </w:r>
                              <w:proofErr w:type="gramEnd"/>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proofErr w:type="gramStart"/>
                              <w:r w:rsidRPr="005019AA">
                                <w:rPr>
                                  <w:rFonts w:ascii="Verdana" w:eastAsia="Times New Roman" w:hAnsi="Verdana" w:cs="Arial"/>
                                  <w:color w:val="000000"/>
                                  <w:sz w:val="20"/>
                                  <w:szCs w:val="20"/>
                                  <w:lang w:eastAsia="tr-TR"/>
                                </w:rPr>
                                <w:t xml:space="preserve">Bu itibarla, söz konusu </w:t>
                              </w:r>
                              <w:proofErr w:type="spellStart"/>
                              <w:r w:rsidRPr="005019AA">
                                <w:rPr>
                                  <w:rFonts w:ascii="Verdana" w:eastAsia="Times New Roman" w:hAnsi="Verdana" w:cs="Arial"/>
                                  <w:color w:val="000000"/>
                                  <w:sz w:val="20"/>
                                  <w:szCs w:val="20"/>
                                  <w:lang w:eastAsia="tr-TR"/>
                                </w:rPr>
                                <w:t>Genelge'de</w:t>
                              </w:r>
                              <w:proofErr w:type="spellEnd"/>
                              <w:r w:rsidRPr="005019AA">
                                <w:rPr>
                                  <w:rFonts w:ascii="Verdana" w:eastAsia="Times New Roman" w:hAnsi="Verdana" w:cs="Arial"/>
                                  <w:color w:val="000000"/>
                                  <w:sz w:val="20"/>
                                  <w:szCs w:val="20"/>
                                  <w:lang w:eastAsia="tr-TR"/>
                                </w:rPr>
                                <w:t xml:space="preserve"> de belirtildiği üzere, </w:t>
                              </w:r>
                              <w:r w:rsidRPr="005019AA">
                                <w:rPr>
                                  <w:rFonts w:ascii="Verdana" w:eastAsia="Times New Roman" w:hAnsi="Verdana" w:cs="Arial"/>
                                  <w:b/>
                                  <w:bCs/>
                                  <w:color w:val="000000"/>
                                  <w:sz w:val="20"/>
                                  <w:szCs w:val="20"/>
                                  <w:lang w:eastAsia="tr-TR"/>
                                </w:rPr>
                                <w:t>gümrüğe sunulmayan </w:t>
                              </w:r>
                              <w:r w:rsidRPr="005019AA">
                                <w:rPr>
                                  <w:rFonts w:ascii="Verdana" w:eastAsia="Times New Roman" w:hAnsi="Verdana" w:cs="Arial"/>
                                  <w:color w:val="000000"/>
                                  <w:sz w:val="20"/>
                                  <w:szCs w:val="20"/>
                                  <w:lang w:eastAsia="tr-TR"/>
                                </w:rPr>
                                <w:t>Gümrük Kanununun 235/3 üncü maddesi kapsamında giren eşya için iki kat olarak ödenmesi öngörülen gümrük vergilerinin </w:t>
                              </w:r>
                              <w:r w:rsidRPr="005019AA">
                                <w:rPr>
                                  <w:rFonts w:ascii="Verdana" w:eastAsia="Times New Roman" w:hAnsi="Verdana" w:cs="Arial"/>
                                  <w:b/>
                                  <w:bCs/>
                                  <w:color w:val="000000"/>
                                  <w:sz w:val="20"/>
                                  <w:szCs w:val="20"/>
                                  <w:lang w:eastAsia="tr-TR"/>
                                </w:rPr>
                                <w:t>ülkeye giriş anında </w:t>
                              </w:r>
                              <w:r w:rsidRPr="005019AA">
                                <w:rPr>
                                  <w:rFonts w:ascii="Verdana" w:eastAsia="Times New Roman" w:hAnsi="Verdana" w:cs="Arial"/>
                                  <w:color w:val="000000"/>
                                  <w:sz w:val="20"/>
                                  <w:szCs w:val="20"/>
                                  <w:lang w:eastAsia="tr-TR"/>
                                </w:rPr>
                                <w:t>ödenmesi halinde eşyanın ilgilisine teslim edilmesi, gümrük vergilerinin ödenmemesi halinde ise eşya gümrüğe terk edilmiş kabul edilerek tasfiye hükümlerinin uygulanması gerekmektedir.</w:t>
                              </w:r>
                              <w:proofErr w:type="gramEnd"/>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r w:rsidRPr="005019AA">
                                <w:rPr>
                                  <w:rFonts w:ascii="Verdana" w:eastAsia="Times New Roman" w:hAnsi="Verdana" w:cs="Arial"/>
                                  <w:color w:val="000000"/>
                                  <w:sz w:val="20"/>
                                  <w:szCs w:val="20"/>
                                  <w:lang w:eastAsia="tr-TR"/>
                                </w:rPr>
                                <w:t>Bilgi ve gereğini rica ederim.</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r w:rsidRPr="005019AA">
                                <w:rPr>
                                  <w:rFonts w:ascii="Arial" w:eastAsia="Times New Roman" w:hAnsi="Arial" w:cs="Arial"/>
                                  <w:color w:val="000000"/>
                                  <w:sz w:val="18"/>
                                  <w:szCs w:val="18"/>
                                  <w:lang w:eastAsia="tr-TR"/>
                                </w:rPr>
                                <w:t> </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r w:rsidRPr="005019AA">
                                <w:rPr>
                                  <w:rFonts w:ascii="Verdana" w:eastAsia="Times New Roman" w:hAnsi="Verdana" w:cs="Arial"/>
                                  <w:color w:val="000000"/>
                                  <w:sz w:val="20"/>
                                  <w:szCs w:val="20"/>
                                  <w:lang w:eastAsia="tr-TR"/>
                                </w:rPr>
                                <w:t>Mustafa GÜMÜŞ</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r w:rsidRPr="005019AA">
                                <w:rPr>
                                  <w:rFonts w:ascii="Verdana" w:eastAsia="Times New Roman" w:hAnsi="Verdana" w:cs="Arial"/>
                                  <w:color w:val="000000"/>
                                  <w:sz w:val="20"/>
                                  <w:szCs w:val="20"/>
                                  <w:lang w:eastAsia="tr-TR"/>
                                </w:rPr>
                                <w:t>Bakan a.</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r w:rsidRPr="005019AA">
                                <w:rPr>
                                  <w:rFonts w:ascii="Verdana" w:eastAsia="Times New Roman" w:hAnsi="Verdana" w:cs="Arial"/>
                                  <w:color w:val="000000"/>
                                  <w:sz w:val="20"/>
                                  <w:szCs w:val="20"/>
                                  <w:lang w:eastAsia="tr-TR"/>
                                </w:rPr>
                                <w:t>Genel Müdür V.</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r w:rsidRPr="005019AA">
                                <w:rPr>
                                  <w:rFonts w:ascii="Verdana" w:eastAsia="Times New Roman" w:hAnsi="Verdana" w:cs="Arial"/>
                                  <w:b/>
                                  <w:bCs/>
                                  <w:color w:val="000000"/>
                                  <w:sz w:val="20"/>
                                  <w:szCs w:val="20"/>
                                  <w:lang w:eastAsia="tr-TR"/>
                                </w:rPr>
                                <w:t> </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r w:rsidRPr="005019AA">
                                <w:rPr>
                                  <w:rFonts w:ascii="Verdana" w:eastAsia="Times New Roman" w:hAnsi="Verdana" w:cs="Arial"/>
                                  <w:b/>
                                  <w:bCs/>
                                  <w:color w:val="000000"/>
                                  <w:sz w:val="20"/>
                                  <w:szCs w:val="20"/>
                                  <w:lang w:eastAsia="tr-TR"/>
                                </w:rPr>
                                <w:t>DAĞITIM:</w:t>
                              </w:r>
                            </w:p>
                            <w:p w:rsidR="005019AA" w:rsidRPr="005019AA" w:rsidRDefault="005019AA" w:rsidP="005019AA">
                              <w:pPr>
                                <w:spacing w:before="100" w:beforeAutospacing="1" w:after="100" w:afterAutospacing="1" w:line="240" w:lineRule="auto"/>
                                <w:rPr>
                                  <w:rFonts w:ascii="Arial" w:eastAsia="Times New Roman" w:hAnsi="Arial" w:cs="Arial"/>
                                  <w:color w:val="000000"/>
                                  <w:sz w:val="18"/>
                                  <w:szCs w:val="18"/>
                                  <w:lang w:eastAsia="tr-TR"/>
                                </w:rPr>
                              </w:pPr>
                              <w:r w:rsidRPr="005019AA">
                                <w:rPr>
                                  <w:rFonts w:ascii="Verdana" w:eastAsia="Times New Roman" w:hAnsi="Verdana" w:cs="Arial"/>
                                  <w:color w:val="000000"/>
                                  <w:sz w:val="20"/>
                                  <w:szCs w:val="20"/>
                                  <w:lang w:eastAsia="tr-TR"/>
                                </w:rPr>
                                <w:t>Tüm Gümrük ve Ticaret Bölge Müdürlüklerine</w:t>
                              </w:r>
                            </w:p>
                          </w:tc>
                        </w:tr>
                      </w:tbl>
                      <w:p w:rsidR="005019AA" w:rsidRPr="005019AA" w:rsidRDefault="005019AA" w:rsidP="005019AA">
                        <w:pPr>
                          <w:spacing w:after="0" w:line="240" w:lineRule="auto"/>
                          <w:rPr>
                            <w:rFonts w:ascii="Verdana" w:eastAsia="Times New Roman" w:hAnsi="Verdana" w:cs="Times New Roman"/>
                            <w:color w:val="FFFFFF"/>
                            <w:sz w:val="18"/>
                            <w:szCs w:val="18"/>
                            <w:lang w:eastAsia="tr-TR"/>
                          </w:rPr>
                        </w:pPr>
                      </w:p>
                    </w:tc>
                  </w:tr>
                  <w:tr w:rsidR="005019AA" w:rsidRPr="005019AA">
                    <w:trPr>
                      <w:trHeight w:val="180"/>
                      <w:tblCellSpacing w:w="0" w:type="dxa"/>
                      <w:hidden/>
                    </w:trPr>
                    <w:tc>
                      <w:tcPr>
                        <w:tcW w:w="0" w:type="auto"/>
                        <w:shd w:val="clear" w:color="auto" w:fill="104E83"/>
                        <w:hideMark/>
                      </w:tcPr>
                      <w:p w:rsidR="005019AA" w:rsidRPr="005019AA" w:rsidRDefault="005019AA" w:rsidP="005019AA">
                        <w:pPr>
                          <w:spacing w:after="0" w:line="240" w:lineRule="auto"/>
                          <w:rPr>
                            <w:rFonts w:ascii="Verdana" w:eastAsia="Times New Roman" w:hAnsi="Verdana" w:cs="Times New Roman"/>
                            <w:vanish/>
                            <w:color w:val="FFFFFF"/>
                            <w:sz w:val="18"/>
                            <w:szCs w:val="18"/>
                            <w:lang w:eastAsia="tr-TR"/>
                          </w:rPr>
                        </w:pPr>
                        <w:r w:rsidRPr="005019AA">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7" o:title=""/>
                            </v:shape>
                            <w:control r:id="rId8" w:name="DefaultOcxName" w:shapeid="_x0000_i1038"/>
                          </w:object>
                        </w:r>
                        <w:r w:rsidRPr="005019AA">
                          <w:rPr>
                            <w:rFonts w:ascii="Verdana" w:eastAsia="Times New Roman" w:hAnsi="Verdana" w:cs="Times New Roman"/>
                            <w:vanish/>
                            <w:color w:val="FFFFFF"/>
                            <w:sz w:val="18"/>
                            <w:szCs w:val="18"/>
                            <w:lang w:eastAsia="tr-TR"/>
                          </w:rPr>
                          <w:t>  İlgili Mevzuatları Göster</w:t>
                        </w:r>
                      </w:p>
                    </w:tc>
                  </w:tr>
                  <w:tr w:rsidR="005019AA" w:rsidRPr="005019AA">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480"/>
                        </w:tblGrid>
                        <w:tr w:rsidR="005019AA" w:rsidRPr="005019AA">
                          <w:trPr>
                            <w:hidden/>
                          </w:trPr>
                          <w:tc>
                            <w:tcPr>
                              <w:tcW w:w="0" w:type="auto"/>
                              <w:vAlign w:val="center"/>
                              <w:hideMark/>
                            </w:tcPr>
                            <w:p w:rsidR="005019AA" w:rsidRPr="005019AA" w:rsidRDefault="005019AA" w:rsidP="005019AA">
                              <w:pPr>
                                <w:spacing w:after="0" w:line="240" w:lineRule="auto"/>
                                <w:rPr>
                                  <w:rFonts w:ascii="Verdana" w:eastAsia="Times New Roman" w:hAnsi="Verdana" w:cs="Times New Roman"/>
                                  <w:vanish/>
                                  <w:color w:val="FFFFFF"/>
                                  <w:sz w:val="18"/>
                                  <w:szCs w:val="18"/>
                                  <w:lang w:eastAsia="tr-TR"/>
                                </w:rPr>
                              </w:pPr>
                            </w:p>
                          </w:tc>
                        </w:tr>
                      </w:tbl>
                      <w:p w:rsidR="005019AA" w:rsidRPr="005019AA" w:rsidRDefault="005019AA" w:rsidP="005019AA">
                        <w:pPr>
                          <w:spacing w:after="0" w:line="240" w:lineRule="auto"/>
                          <w:rPr>
                            <w:rFonts w:ascii="Verdana" w:eastAsia="Times New Roman" w:hAnsi="Verdana" w:cs="Times New Roman"/>
                            <w:vanish/>
                            <w:color w:val="7AA6D3"/>
                            <w:sz w:val="18"/>
                            <w:szCs w:val="18"/>
                            <w:lang w:eastAsia="tr-TR"/>
                          </w:rPr>
                        </w:pPr>
                      </w:p>
                    </w:tc>
                  </w:tr>
                  <w:tr w:rsidR="005019AA" w:rsidRPr="005019AA">
                    <w:trPr>
                      <w:trHeight w:val="180"/>
                      <w:tblCellSpacing w:w="0" w:type="dxa"/>
                      <w:hidden/>
                    </w:trPr>
                    <w:tc>
                      <w:tcPr>
                        <w:tcW w:w="0" w:type="auto"/>
                        <w:shd w:val="clear" w:color="auto" w:fill="104E83"/>
                        <w:hideMark/>
                      </w:tcPr>
                      <w:p w:rsidR="005019AA" w:rsidRPr="005019AA" w:rsidRDefault="005019AA" w:rsidP="005019AA">
                        <w:pPr>
                          <w:spacing w:after="0" w:line="240" w:lineRule="auto"/>
                          <w:rPr>
                            <w:rFonts w:ascii="Verdana" w:eastAsia="Times New Roman" w:hAnsi="Verdana" w:cs="Times New Roman"/>
                            <w:vanish/>
                            <w:color w:val="FFFFFF"/>
                            <w:sz w:val="18"/>
                            <w:szCs w:val="18"/>
                            <w:lang w:eastAsia="tr-TR"/>
                          </w:rPr>
                        </w:pPr>
                        <w:r w:rsidRPr="005019AA">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7" o:title=""/>
                            </v:shape>
                            <w:control r:id="rId9" w:name="DefaultOcxName1" w:shapeid="_x0000_i1037"/>
                          </w:object>
                        </w:r>
                        <w:r w:rsidRPr="005019AA">
                          <w:rPr>
                            <w:rFonts w:ascii="Verdana" w:eastAsia="Times New Roman" w:hAnsi="Verdana" w:cs="Times New Roman"/>
                            <w:vanish/>
                            <w:color w:val="FFFFFF"/>
                            <w:sz w:val="18"/>
                            <w:szCs w:val="18"/>
                            <w:lang w:eastAsia="tr-TR"/>
                          </w:rPr>
                          <w:t>Bu Mevzuatın Yürürlükten Kaldırdığı/Değiştirdiği Mevzuatları Göster</w:t>
                        </w:r>
                      </w:p>
                    </w:tc>
                  </w:tr>
                  <w:tr w:rsidR="005019AA" w:rsidRPr="005019AA">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480"/>
                        </w:tblGrid>
                        <w:tr w:rsidR="005019AA" w:rsidRPr="005019AA">
                          <w:trPr>
                            <w:hidden/>
                          </w:trPr>
                          <w:tc>
                            <w:tcPr>
                              <w:tcW w:w="0" w:type="auto"/>
                              <w:vAlign w:val="center"/>
                              <w:hideMark/>
                            </w:tcPr>
                            <w:p w:rsidR="005019AA" w:rsidRPr="005019AA" w:rsidRDefault="005019AA" w:rsidP="005019AA">
                              <w:pPr>
                                <w:spacing w:after="0" w:line="240" w:lineRule="auto"/>
                                <w:rPr>
                                  <w:rFonts w:ascii="Verdana" w:eastAsia="Times New Roman" w:hAnsi="Verdana" w:cs="Times New Roman"/>
                                  <w:vanish/>
                                  <w:color w:val="FFFFFF"/>
                                  <w:sz w:val="18"/>
                                  <w:szCs w:val="18"/>
                                  <w:lang w:eastAsia="tr-TR"/>
                                </w:rPr>
                              </w:pPr>
                            </w:p>
                          </w:tc>
                        </w:tr>
                      </w:tbl>
                      <w:p w:rsidR="005019AA" w:rsidRPr="005019AA" w:rsidRDefault="005019AA" w:rsidP="005019AA">
                        <w:pPr>
                          <w:spacing w:after="0" w:line="240" w:lineRule="auto"/>
                          <w:rPr>
                            <w:rFonts w:ascii="Verdana" w:eastAsia="Times New Roman" w:hAnsi="Verdana" w:cs="Times New Roman"/>
                            <w:vanish/>
                            <w:color w:val="7AA6D3"/>
                            <w:sz w:val="18"/>
                            <w:szCs w:val="18"/>
                            <w:lang w:eastAsia="tr-TR"/>
                          </w:rPr>
                        </w:pPr>
                      </w:p>
                    </w:tc>
                  </w:tr>
                </w:tbl>
                <w:p w:rsidR="005019AA" w:rsidRPr="005019AA" w:rsidRDefault="005019AA" w:rsidP="005019AA">
                  <w:pPr>
                    <w:spacing w:after="0" w:line="240" w:lineRule="auto"/>
                    <w:rPr>
                      <w:rFonts w:ascii="Times New Roman" w:eastAsia="Times New Roman" w:hAnsi="Times New Roman" w:cs="Times New Roman"/>
                      <w:sz w:val="24"/>
                      <w:szCs w:val="24"/>
                      <w:lang w:eastAsia="tr-TR"/>
                    </w:rPr>
                  </w:pPr>
                </w:p>
              </w:tc>
            </w:tr>
          </w:tbl>
          <w:p w:rsidR="005019AA" w:rsidRPr="005019AA" w:rsidRDefault="005019AA" w:rsidP="005019AA">
            <w:pPr>
              <w:spacing w:after="0" w:line="240" w:lineRule="auto"/>
              <w:rPr>
                <w:rFonts w:ascii="Times New Roman" w:eastAsia="Times New Roman" w:hAnsi="Times New Roman" w:cs="Times New Roman"/>
                <w:sz w:val="24"/>
                <w:szCs w:val="24"/>
                <w:lang w:eastAsia="tr-TR"/>
              </w:rPr>
            </w:pPr>
          </w:p>
        </w:tc>
      </w:tr>
    </w:tbl>
    <w:p w:rsidR="005019AA" w:rsidRPr="005019AA" w:rsidRDefault="005019AA" w:rsidP="005019AA">
      <w:pPr>
        <w:spacing w:after="0" w:line="240" w:lineRule="auto"/>
        <w:rPr>
          <w:rFonts w:ascii="Times New Roman" w:eastAsia="Times New Roman" w:hAnsi="Times New Roman" w:cs="Times New Roman"/>
          <w:sz w:val="24"/>
          <w:szCs w:val="24"/>
          <w:lang w:eastAsia="tr-TR"/>
        </w:rPr>
      </w:pPr>
      <w:r w:rsidRPr="005019AA">
        <w:rPr>
          <w:rFonts w:ascii="Times New Roman" w:eastAsia="Times New Roman" w:hAnsi="Times New Roman" w:cs="Times New Roman"/>
          <w:sz w:val="24"/>
          <w:szCs w:val="24"/>
          <w:lang w:eastAsia="tr-TR"/>
        </w:rPr>
        <w:t xml:space="preserve">    </w:t>
      </w:r>
    </w:p>
    <w:p w:rsidR="005019AA" w:rsidRPr="005019AA" w:rsidRDefault="005019AA" w:rsidP="005019AA">
      <w:pPr>
        <w:spacing w:after="0" w:line="240" w:lineRule="auto"/>
        <w:rPr>
          <w:rFonts w:ascii="Times New Roman" w:eastAsia="Times New Roman" w:hAnsi="Times New Roman" w:cs="Times New Roman"/>
          <w:vanish/>
          <w:sz w:val="24"/>
          <w:szCs w:val="24"/>
          <w:lang w:eastAsia="tr-TR"/>
        </w:rPr>
      </w:pPr>
      <w:r w:rsidRPr="005019AA">
        <w:rPr>
          <w:rFonts w:ascii="Times New Roman" w:eastAsia="Times New Roman" w:hAnsi="Times New Roman" w:cs="Times New Roman"/>
          <w:vanish/>
          <w:sz w:val="24"/>
          <w:szCs w:val="24"/>
          <w:lang w:eastAsia="tr-TR"/>
        </w:rPr>
        <w:object w:dxaOrig="1440" w:dyaOrig="1440">
          <v:shape id="_x0000_i1036" type="#_x0000_t75" style="width:36pt;height:22.5pt" o:ole="">
            <v:imagedata r:id="rId10" o:title=""/>
          </v:shape>
          <w:control r:id="rId11" w:name="DefaultOcxName2" w:shapeid="_x0000_i1036"/>
        </w:object>
      </w:r>
      <w:r w:rsidRPr="005019AA">
        <w:rPr>
          <w:rFonts w:ascii="Times New Roman" w:eastAsia="Times New Roman" w:hAnsi="Times New Roman" w:cs="Times New Roman"/>
          <w:vanish/>
          <w:sz w:val="24"/>
          <w:szCs w:val="24"/>
          <w:lang w:eastAsia="tr-TR"/>
        </w:rPr>
        <w:object w:dxaOrig="1440" w:dyaOrig="1440">
          <v:shape id="_x0000_i1035" type="#_x0000_t75" style="width:1in;height:18pt" o:ole="">
            <v:imagedata r:id="rId12" o:title=""/>
          </v:shape>
          <w:control r:id="rId13" w:name="DefaultOcxName3" w:shapeid="_x0000_i1035"/>
        </w:object>
      </w:r>
    </w:p>
    <w:p w:rsidR="002F7CD1" w:rsidRDefault="005019AA" w:rsidP="005019AA">
      <w:r w:rsidRPr="005019AA">
        <w:rPr>
          <w:rFonts w:ascii="Times New Roman" w:eastAsia="Times New Roman" w:hAnsi="Times New Roman" w:cs="Times New Roman"/>
          <w:vanish/>
          <w:sz w:val="24"/>
          <w:szCs w:val="24"/>
          <w:lang w:eastAsia="tr-TR"/>
        </w:rPr>
        <w:pict/>
      </w:r>
      <w:bookmarkStart w:id="0" w:name="_GoBack"/>
      <w:bookmarkEnd w:id="0"/>
    </w:p>
    <w:sectPr w:rsidR="002F7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49"/>
    <w:rsid w:val="002F7CD1"/>
    <w:rsid w:val="005019AA"/>
    <w:rsid w:val="009E5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847"/>
  <w15:chartTrackingRefBased/>
  <w15:docId w15:val="{9C221ECB-7885-4E3D-AF2F-27B9AB9E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019AA"/>
  </w:style>
  <w:style w:type="character" w:styleId="Gl">
    <w:name w:val="Strong"/>
    <w:basedOn w:val="VarsaylanParagrafYazTipi"/>
    <w:uiPriority w:val="22"/>
    <w:qFormat/>
    <w:rsid w:val="00501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8623">
      <w:bodyDiv w:val="1"/>
      <w:marLeft w:val="0"/>
      <w:marRight w:val="0"/>
      <w:marTop w:val="0"/>
      <w:marBottom w:val="0"/>
      <w:divBdr>
        <w:top w:val="none" w:sz="0" w:space="0" w:color="auto"/>
        <w:left w:val="none" w:sz="0" w:space="0" w:color="auto"/>
        <w:bottom w:val="none" w:sz="0" w:space="0" w:color="auto"/>
        <w:right w:val="none" w:sz="0" w:space="0" w:color="auto"/>
      </w:divBdr>
      <w:divsChild>
        <w:div w:id="174321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16.11/mavi/?id=32" TargetMode="External"/><Relationship Id="rId11" Type="http://schemas.openxmlformats.org/officeDocument/2006/relationships/control" Target="activeX/activeX3.xml"/><Relationship Id="rId5" Type="http://schemas.openxmlformats.org/officeDocument/2006/relationships/hyperlink" Target="http://192.168.16.11/mavi/?id=32554" TargetMode="Externa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hyperlink" Target="http://192.168.16.11/mavi/?id=28239" TargetMode="Externa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2017-06-08T05:49:00Z</dcterms:created>
  <dcterms:modified xsi:type="dcterms:W3CDTF">2017-06-08T05:49:00Z</dcterms:modified>
</cp:coreProperties>
</file>